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133" w:line="222" w:lineRule="auto"/>
        <w:ind w:left="269"/>
        <w:rPr>
          <w:rFonts w:ascii="黑体" w:hAnsi="黑体" w:eastAsia="黑体" w:cs="黑体"/>
          <w:sz w:val="41"/>
          <w:szCs w:val="41"/>
        </w:rPr>
      </w:pPr>
      <w:r>
        <w:drawing>
          <wp:anchor distT="0" distB="0" distL="0" distR="0" simplePos="0" relativeHeight="251660288" behindDoc="0" locked="0" layoutInCell="1" allowOverlap="1">
            <wp:simplePos x="0" y="0"/>
            <wp:positionH relativeFrom="column">
              <wp:posOffset>1646555</wp:posOffset>
            </wp:positionH>
            <wp:positionV relativeFrom="paragraph">
              <wp:posOffset>-358775</wp:posOffset>
            </wp:positionV>
            <wp:extent cx="1428750" cy="1441450"/>
            <wp:effectExtent l="0" t="0" r="6350" b="6350"/>
            <wp:wrapNone/>
            <wp:docPr id="4" name="IM 3"/>
            <wp:cNvGraphicFramePr/>
            <a:graphic xmlns:a="http://schemas.openxmlformats.org/drawingml/2006/main">
              <a:graphicData uri="http://schemas.openxmlformats.org/drawingml/2006/picture">
                <pic:pic xmlns:pic="http://schemas.openxmlformats.org/drawingml/2006/picture">
                  <pic:nvPicPr>
                    <pic:cNvPr id="4" name="IM 3"/>
                    <pic:cNvPicPr/>
                  </pic:nvPicPr>
                  <pic:blipFill>
                    <a:blip r:embed="rId4"/>
                    <a:stretch>
                      <a:fillRect/>
                    </a:stretch>
                  </pic:blipFill>
                  <pic:spPr>
                    <a:xfrm>
                      <a:off x="0" y="0"/>
                      <a:ext cx="1428773" cy="1441363"/>
                    </a:xfrm>
                    <a:prstGeom prst="rect">
                      <a:avLst/>
                    </a:prstGeom>
                  </pic:spPr>
                </pic:pic>
              </a:graphicData>
            </a:graphic>
          </wp:anchor>
        </w:drawing>
      </w:r>
      <w:r>
        <w:rPr>
          <w:rFonts w:ascii="黑体" w:hAnsi="黑体" w:eastAsia="黑体" w:cs="黑体"/>
          <w:b/>
          <w:bCs/>
          <w:spacing w:val="1"/>
          <w:sz w:val="41"/>
          <w:szCs w:val="41"/>
        </w:rPr>
        <w:t>江苏蓝鲸智慧空间研究院参与高等教育人</w:t>
      </w:r>
    </w:p>
    <w:p>
      <w:pPr>
        <w:spacing w:before="95" w:line="221" w:lineRule="auto"/>
        <w:ind w:left="1949"/>
        <w:rPr>
          <w:rFonts w:ascii="黑体" w:hAnsi="黑体" w:eastAsia="黑体" w:cs="黑体"/>
          <w:sz w:val="41"/>
          <w:szCs w:val="41"/>
        </w:rPr>
      </w:pPr>
      <w:r>
        <w:drawing>
          <wp:anchor distT="0" distB="0" distL="0" distR="0" simplePos="0" relativeHeight="251659264" behindDoc="0" locked="0" layoutInCell="1" allowOverlap="1">
            <wp:simplePos x="0" y="0"/>
            <wp:positionH relativeFrom="column">
              <wp:posOffset>2853055</wp:posOffset>
            </wp:positionH>
            <wp:positionV relativeFrom="paragraph">
              <wp:posOffset>-13335</wp:posOffset>
            </wp:positionV>
            <wp:extent cx="1492250" cy="1479550"/>
            <wp:effectExtent l="0" t="0" r="6350" b="6350"/>
            <wp:wrapNone/>
            <wp:docPr id="6" name="IM 4"/>
            <wp:cNvGraphicFramePr/>
            <a:graphic xmlns:a="http://schemas.openxmlformats.org/drawingml/2006/main">
              <a:graphicData uri="http://schemas.openxmlformats.org/drawingml/2006/picture">
                <pic:pic xmlns:pic="http://schemas.openxmlformats.org/drawingml/2006/picture">
                  <pic:nvPicPr>
                    <pic:cNvPr id="6" name="IM 4"/>
                    <pic:cNvPicPr/>
                  </pic:nvPicPr>
                  <pic:blipFill>
                    <a:blip r:embed="rId5"/>
                    <a:stretch>
                      <a:fillRect/>
                    </a:stretch>
                  </pic:blipFill>
                  <pic:spPr>
                    <a:xfrm>
                      <a:off x="0" y="0"/>
                      <a:ext cx="1492225" cy="1479538"/>
                    </a:xfrm>
                    <a:prstGeom prst="rect">
                      <a:avLst/>
                    </a:prstGeom>
                  </pic:spPr>
                </pic:pic>
              </a:graphicData>
            </a:graphic>
          </wp:anchor>
        </w:drawing>
      </w:r>
      <w:r>
        <w:rPr>
          <w:rFonts w:ascii="黑体" w:hAnsi="黑体" w:eastAsia="黑体" w:cs="黑体"/>
          <w:b/>
          <w:bCs/>
          <w:sz w:val="41"/>
          <w:szCs w:val="41"/>
        </w:rPr>
        <w:t>才培养年度报告(2023)</w:t>
      </w:r>
    </w:p>
    <w:p>
      <w:pPr>
        <w:widowControl/>
        <w:spacing w:after="160" w:line="360" w:lineRule="auto"/>
        <w:jc w:val="center"/>
        <w:rPr>
          <w:rFonts w:hint="eastAsia" w:ascii="宋体" w:hAnsi="宋体" w:eastAsia="宋体" w:cs="宋体"/>
          <w:b/>
          <w:bCs/>
          <w:color w:val="222222"/>
          <w:kern w:val="0"/>
          <w:sz w:val="32"/>
          <w:szCs w:val="32"/>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黑体" w:hAnsi="黑体" w:eastAsia="黑体" w:cs="黑体"/>
          <w:b/>
          <w:bCs/>
          <w:spacing w:val="2"/>
          <w:sz w:val="41"/>
          <w:szCs w:val="41"/>
        </w:rPr>
        <w:t>(南京工业职业披术大学)</w:t>
      </w:r>
    </w:p>
    <w:p>
      <w:pPr>
        <w:widowControl/>
        <w:spacing w:after="160" w:line="360" w:lineRule="auto"/>
        <w:jc w:val="center"/>
        <w:rPr>
          <w:rFonts w:ascii="宋体" w:hAnsi="宋体" w:eastAsia="宋体" w:cs="宋体"/>
          <w:b/>
          <w:bCs/>
          <w:color w:val="222222"/>
          <w:kern w:val="0"/>
          <w:sz w:val="32"/>
          <w:szCs w:val="32"/>
        </w:rPr>
      </w:pPr>
      <w:r>
        <w:rPr>
          <w:rFonts w:hint="eastAsia" w:ascii="宋体" w:hAnsi="宋体" w:eastAsia="宋体" w:cs="宋体"/>
          <w:b/>
          <w:bCs/>
          <w:color w:val="222222"/>
          <w:kern w:val="0"/>
          <w:sz w:val="32"/>
          <w:szCs w:val="32"/>
        </w:rPr>
        <w:t>江苏蓝鲸智慧空间研究院参与高等教育人才培养        年度报告（2</w:t>
      </w:r>
      <w:r>
        <w:rPr>
          <w:rFonts w:ascii="宋体" w:hAnsi="宋体" w:eastAsia="宋体" w:cs="宋体"/>
          <w:b/>
          <w:bCs/>
          <w:color w:val="222222"/>
          <w:kern w:val="0"/>
          <w:sz w:val="32"/>
          <w:szCs w:val="32"/>
        </w:rPr>
        <w:t>0</w:t>
      </w:r>
      <w:r>
        <w:rPr>
          <w:rFonts w:hint="eastAsia" w:ascii="宋体" w:hAnsi="宋体" w:eastAsia="宋体" w:cs="宋体"/>
          <w:b/>
          <w:bCs/>
          <w:color w:val="222222"/>
          <w:kern w:val="0"/>
          <w:sz w:val="32"/>
          <w:szCs w:val="32"/>
        </w:rPr>
        <w:t>2</w:t>
      </w:r>
      <w:r>
        <w:rPr>
          <w:rFonts w:ascii="宋体" w:hAnsi="宋体" w:eastAsia="宋体" w:cs="宋体"/>
          <w:b/>
          <w:bCs/>
          <w:color w:val="222222"/>
          <w:kern w:val="0"/>
          <w:sz w:val="32"/>
          <w:szCs w:val="32"/>
        </w:rPr>
        <w:t>3</w:t>
      </w:r>
      <w:r>
        <w:rPr>
          <w:rFonts w:hint="eastAsia" w:ascii="宋体" w:hAnsi="宋体" w:eastAsia="宋体" w:cs="宋体"/>
          <w:b/>
          <w:bCs/>
          <w:color w:val="222222"/>
          <w:kern w:val="0"/>
          <w:sz w:val="32"/>
          <w:szCs w:val="32"/>
        </w:rPr>
        <w:t>）</w:t>
      </w:r>
    </w:p>
    <w:p>
      <w:pPr>
        <w:spacing w:line="360" w:lineRule="auto"/>
        <w:rPr>
          <w:rFonts w:ascii="宋体" w:hAnsi="宋体" w:eastAsia="宋体" w:cs="宋体"/>
          <w:b/>
          <w:bCs/>
          <w:color w:val="222222"/>
          <w:kern w:val="0"/>
          <w:sz w:val="24"/>
        </w:rPr>
      </w:pPr>
      <w:r>
        <w:rPr>
          <w:rFonts w:hint="eastAsia" w:ascii="宋体" w:hAnsi="宋体" w:eastAsia="宋体" w:cs="宋体"/>
          <w:b/>
          <w:bCs/>
          <w:color w:val="222222"/>
          <w:kern w:val="0"/>
          <w:sz w:val="24"/>
        </w:rPr>
        <w:t>一、企业概况</w:t>
      </w:r>
    </w:p>
    <w:p>
      <w:pPr>
        <w:spacing w:line="360" w:lineRule="auto"/>
        <w:ind w:firstLine="480" w:firstLineChars="200"/>
        <w:rPr>
          <w:rFonts w:asciiTheme="minorEastAsia" w:hAnsiTheme="minorEastAsia"/>
          <w:sz w:val="24"/>
        </w:rPr>
      </w:pPr>
      <w:r>
        <w:rPr>
          <w:rFonts w:hint="eastAsia" w:asciiTheme="minorEastAsia" w:hAnsiTheme="minorEastAsia"/>
          <w:sz w:val="24"/>
        </w:rPr>
        <w:t>江苏蓝鲸智慧空间研究院有限公司，专门致力于教育、科研无人机领域，主要提供面向教育教学及科研、竞赛的人工智能+无人机解决方案及相关配套产品，主要产品及服务包括面向教育的无人机实训平台、无人机实训实验室解决方案、职业院校无人机应用技术专业建设方案、无人机产教融合实训基地建设等，为各类教育机构提供无人机教育、实训实战、竞赛及学科建设多一站式服务。</w:t>
      </w:r>
    </w:p>
    <w:p>
      <w:pPr>
        <w:spacing w:line="360" w:lineRule="auto"/>
        <w:ind w:firstLine="480" w:firstLineChars="200"/>
        <w:rPr>
          <w:rFonts w:asciiTheme="minorEastAsia" w:hAnsiTheme="minorEastAsia"/>
          <w:sz w:val="24"/>
        </w:rPr>
      </w:pPr>
      <w:r>
        <w:rPr>
          <w:rFonts w:hint="eastAsia" w:asciiTheme="minorEastAsia" w:hAnsiTheme="minorEastAsia"/>
          <w:sz w:val="24"/>
        </w:rPr>
        <w:t>我们致力于专业无人机飞行控制系统、无人系统图形化编程系统、行业应用无人机教育领域改进及无人机互联云服务等多项先进系统的研发和生产。面向市场推出内置机载计算机的飞控系统、基于5G网络的无人机、无人机数据管理平台等数项核心技术产品。形成LINE系列飞控系统（点）、L系列飞行平台（线）、故障设置诊断平台/半实物仿真系统（面）、V系列多载荷无人机系统（体）全方位的产品体系以及农林植保、电力巡检等领域的技术服务。为教育领域提供装配、检测、仿真、飞行、服务及云数据管理的整体解决方案。</w:t>
      </w:r>
    </w:p>
    <w:p>
      <w:pPr>
        <w:spacing w:line="360" w:lineRule="auto"/>
        <w:ind w:firstLine="480" w:firstLineChars="200"/>
        <w:rPr>
          <w:b/>
          <w:sz w:val="24"/>
        </w:rPr>
      </w:pPr>
      <w:r>
        <w:rPr>
          <w:rFonts w:hint="eastAsia" w:asciiTheme="minorEastAsia" w:hAnsiTheme="minorEastAsia"/>
          <w:sz w:val="24"/>
        </w:rPr>
        <w:t>蓝鲸依托人工智能生态系统，将专业教育和产业统筹融合起来，共同培养人才。主动参与学校教育，制定培养计划，横建师资力量及教材、实验室建设，实施“学历提升+职业训练”双向模式，真正将职业教育和素质教育融合起来。</w:t>
      </w:r>
    </w:p>
    <w:p>
      <w:pPr>
        <w:numPr>
          <w:ilvl w:val="0"/>
          <w:numId w:val="1"/>
        </w:numPr>
        <w:spacing w:line="360" w:lineRule="auto"/>
        <w:rPr>
          <w:rFonts w:ascii="宋体" w:hAnsi="宋体"/>
          <w:b/>
          <w:sz w:val="24"/>
        </w:rPr>
      </w:pPr>
      <w:r>
        <w:rPr>
          <w:rFonts w:hint="eastAsia" w:ascii="宋体" w:hAnsi="宋体"/>
          <w:b/>
          <w:sz w:val="24"/>
        </w:rPr>
        <w:t>校企合作</w:t>
      </w:r>
    </w:p>
    <w:p>
      <w:pPr>
        <w:spacing w:line="360" w:lineRule="auto"/>
        <w:ind w:firstLine="480" w:firstLineChars="200"/>
        <w:rPr>
          <w:rFonts w:asciiTheme="minorEastAsia" w:hAnsiTheme="minorEastAsia"/>
          <w:sz w:val="24"/>
        </w:rPr>
      </w:pPr>
      <w:r>
        <w:rPr>
          <w:rFonts w:hint="eastAsia" w:asciiTheme="minorEastAsia" w:hAnsiTheme="minorEastAsia"/>
          <w:sz w:val="24"/>
        </w:rPr>
        <w:t>江苏蓝鲸智慧空间研究院有限公司在2018年签约南京工业职业技术大学，成立无人机产业研究院，并在南工建立无人机现场飞行测控站及研发中心实验室，在校方无人机专业原有基础上，设立无人机应用技术方向，开设相关课程，派出无人机技术工程师进行专业建设指导，进行无人机应用技术人才培养。江苏蓝鲸在2020年横向课题（技术开发合同）中就飞行器人工智能技术应用平台开发、三维模型偏差分析系统研发等方面与南工展开研发合作，双方合作举办了2021年全国人工智能应用技术技能大赛培训和2022年</w:t>
      </w:r>
      <w:r>
        <w:rPr>
          <w:rFonts w:hint="eastAsia" w:ascii="Times New Roman" w:hAnsi="Times New Roman" w:eastAsia="宋体" w:cs="Times New Roman"/>
          <w:color w:val="333333"/>
          <w:sz w:val="24"/>
        </w:rPr>
        <w:t>无人机应用技术专业技能人才培训</w:t>
      </w:r>
      <w:r>
        <w:rPr>
          <w:rFonts w:hint="eastAsia" w:asciiTheme="minorEastAsia" w:hAnsiTheme="minorEastAsia"/>
          <w:sz w:val="24"/>
        </w:rPr>
        <w:t>。</w:t>
      </w:r>
    </w:p>
    <w:p>
      <w:pPr>
        <w:spacing w:line="360" w:lineRule="auto"/>
        <w:ind w:firstLine="480" w:firstLineChars="200"/>
        <w:rPr>
          <w:rFonts w:asciiTheme="minorEastAsia" w:hAnsiTheme="minorEastAsia"/>
          <w:sz w:val="24"/>
        </w:rPr>
      </w:pPr>
    </w:p>
    <w:tbl>
      <w:tblPr>
        <w:tblStyle w:val="11"/>
        <w:tblW w:w="0" w:type="auto"/>
        <w:tblInd w:w="3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3932"/>
        <w:gridCol w:w="4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3203" w:hRule="atLeast"/>
        </w:trPr>
        <w:tc>
          <w:tcPr>
            <w:tcW w:w="3932" w:type="dxa"/>
            <w:tcBorders>
              <w:tl2br w:val="nil"/>
              <w:tr2bl w:val="nil"/>
            </w:tcBorders>
            <w:vAlign w:val="top"/>
          </w:tcPr>
          <w:p>
            <w:pPr>
              <w:widowControl/>
              <w:jc w:val="center"/>
              <w:rPr>
                <w:rFonts w:ascii="宋体" w:hAnsi="宋体" w:eastAsia="宋体" w:cs="宋体"/>
                <w:kern w:val="0"/>
                <w:sz w:val="24"/>
                <w:vertAlign w:val="baseline"/>
              </w:rPr>
            </w:pPr>
            <w:r>
              <w:rPr>
                <w:rFonts w:hint="eastAsia" w:ascii="宋体" w:hAnsi="宋体" w:eastAsia="宋体" w:cs="宋体"/>
                <w:kern w:val="0"/>
                <w:sz w:val="24"/>
              </w:rPr>
              <w:drawing>
                <wp:anchor distT="0" distB="0" distL="114300" distR="114300" simplePos="0" relativeHeight="251661312" behindDoc="0" locked="0" layoutInCell="1" allowOverlap="1">
                  <wp:simplePos x="0" y="0"/>
                  <wp:positionH relativeFrom="column">
                    <wp:posOffset>304800</wp:posOffset>
                  </wp:positionH>
                  <wp:positionV relativeFrom="paragraph">
                    <wp:posOffset>-1958975</wp:posOffset>
                  </wp:positionV>
                  <wp:extent cx="2447290" cy="1916430"/>
                  <wp:effectExtent l="0" t="0" r="3810" b="1270"/>
                  <wp:wrapSquare wrapText="bothSides"/>
                  <wp:docPr id="2" name="图片 2" descr="ee18233cd323073b93e0df70b92fa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e18233cd323073b93e0df70b92fab9"/>
                          <pic:cNvPicPr>
                            <a:picLocks noChangeAspect="1"/>
                          </pic:cNvPicPr>
                        </pic:nvPicPr>
                        <pic:blipFill>
                          <a:blip r:embed="rId6"/>
                          <a:stretch>
                            <a:fillRect/>
                          </a:stretch>
                        </pic:blipFill>
                        <pic:spPr>
                          <a:xfrm>
                            <a:off x="0" y="0"/>
                            <a:ext cx="2447290" cy="1916430"/>
                          </a:xfrm>
                          <a:prstGeom prst="rect">
                            <a:avLst/>
                          </a:prstGeom>
                        </pic:spPr>
                      </pic:pic>
                    </a:graphicData>
                  </a:graphic>
                </wp:anchor>
              </w:drawing>
            </w:r>
          </w:p>
        </w:tc>
        <w:tc>
          <w:tcPr>
            <w:tcW w:w="4276" w:type="dxa"/>
            <w:tcBorders>
              <w:tl2br w:val="nil"/>
              <w:tr2bl w:val="nil"/>
            </w:tcBorders>
            <w:vAlign w:val="top"/>
          </w:tcPr>
          <w:p>
            <w:pPr>
              <w:widowControl/>
              <w:jc w:val="center"/>
              <w:rPr>
                <w:rFonts w:ascii="宋体" w:hAnsi="宋体" w:eastAsia="宋体" w:cs="宋体"/>
                <w:kern w:val="0"/>
                <w:sz w:val="24"/>
                <w:vertAlign w:val="baseline"/>
              </w:rPr>
            </w:pPr>
            <w:r>
              <w:rPr>
                <w:rFonts w:hint="eastAsia" w:ascii="宋体" w:hAnsi="宋体" w:eastAsia="宋体" w:cs="宋体"/>
                <w:kern w:val="0"/>
                <w:sz w:val="24"/>
              </w:rPr>
              <w:drawing>
                <wp:inline distT="0" distB="0" distL="114300" distR="114300">
                  <wp:extent cx="2574925" cy="1931035"/>
                  <wp:effectExtent l="0" t="0" r="3175" b="12065"/>
                  <wp:docPr id="5" name="图片 5" descr="cef6e27e7f15c23ba0a02f27c3464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ef6e27e7f15c23ba0a02f27c34647f"/>
                          <pic:cNvPicPr>
                            <a:picLocks noChangeAspect="1"/>
                          </pic:cNvPicPr>
                        </pic:nvPicPr>
                        <pic:blipFill>
                          <a:blip r:embed="rId7"/>
                          <a:stretch>
                            <a:fillRect/>
                          </a:stretch>
                        </pic:blipFill>
                        <pic:spPr>
                          <a:xfrm>
                            <a:off x="0" y="0"/>
                            <a:ext cx="2574925" cy="1931035"/>
                          </a:xfrm>
                          <a:prstGeom prst="rect">
                            <a:avLst/>
                          </a:prstGeom>
                        </pic:spPr>
                      </pic:pic>
                    </a:graphicData>
                  </a:graphic>
                </wp:inline>
              </w:drawing>
            </w:r>
          </w:p>
        </w:tc>
      </w:tr>
    </w:tbl>
    <w:p>
      <w:pPr>
        <w:widowControl/>
        <w:jc w:val="center"/>
        <w:rPr>
          <w:rFonts w:ascii="宋体" w:hAnsi="宋体" w:eastAsia="宋体" w:cs="宋体"/>
          <w:kern w:val="0"/>
          <w:sz w:val="24"/>
        </w:rPr>
      </w:pPr>
    </w:p>
    <w:p>
      <w:pPr>
        <w:spacing w:line="360" w:lineRule="auto"/>
        <w:rPr>
          <w:b/>
          <w:sz w:val="24"/>
        </w:rPr>
      </w:pPr>
      <w:r>
        <w:rPr>
          <w:rFonts w:hint="eastAsia"/>
          <w:b/>
          <w:sz w:val="24"/>
        </w:rPr>
        <w:t>三、资源投入</w:t>
      </w:r>
    </w:p>
    <w:p>
      <w:pPr>
        <w:spacing w:line="360" w:lineRule="auto"/>
        <w:ind w:firstLine="480" w:firstLineChars="200"/>
        <w:rPr>
          <w:rFonts w:asciiTheme="minorEastAsia" w:hAnsiTheme="minorEastAsia"/>
          <w:sz w:val="24"/>
        </w:rPr>
      </w:pPr>
      <w:r>
        <w:rPr>
          <w:rFonts w:hint="eastAsia" w:asciiTheme="minorEastAsia" w:hAnsiTheme="minorEastAsia"/>
          <w:sz w:val="24"/>
        </w:rPr>
        <w:t>编制规模：6人（专职、兼职相结合）</w:t>
      </w:r>
    </w:p>
    <w:p>
      <w:pPr>
        <w:spacing w:line="360" w:lineRule="auto"/>
        <w:ind w:firstLine="480" w:firstLineChars="200"/>
        <w:jc w:val="left"/>
        <w:rPr>
          <w:rFonts w:ascii="宋体" w:hAnsi="宋体" w:eastAsia="宋体" w:cs="微软雅黑"/>
          <w:sz w:val="24"/>
        </w:rPr>
      </w:pPr>
      <w:r>
        <w:rPr>
          <w:rFonts w:hint="eastAsia" w:asciiTheme="minorEastAsia" w:hAnsiTheme="minorEastAsia"/>
          <w:sz w:val="24"/>
        </w:rPr>
        <w:t>选址：南京工业职业技术大学</w:t>
      </w:r>
      <w:r>
        <w:rPr>
          <w:rFonts w:hint="eastAsia" w:ascii="宋体" w:hAnsi="宋体" w:eastAsia="宋体" w:cs="微软雅黑"/>
          <w:sz w:val="24"/>
        </w:rPr>
        <w:t>工业中心</w:t>
      </w:r>
    </w:p>
    <w:p>
      <w:pPr>
        <w:spacing w:line="360" w:lineRule="auto"/>
        <w:ind w:firstLine="480" w:firstLineChars="200"/>
        <w:rPr>
          <w:rFonts w:ascii="宋体" w:hAnsi="宋体" w:eastAsia="宋体" w:cs="微软雅黑"/>
          <w:sz w:val="24"/>
        </w:rPr>
      </w:pPr>
      <w:r>
        <w:rPr>
          <w:rFonts w:hint="eastAsia" w:ascii="宋体" w:hAnsi="宋体" w:eastAsia="宋体" w:cs="微软雅黑"/>
          <w:sz w:val="24"/>
        </w:rPr>
        <w:t>设备：LINE系列飞控系统（全自主研发）、L系列飞行平台（产品硬件共平台）、故障诊断/半实物仿真（L硬件）、V系列多载荷无人机（L硬件）、无人系统数据管理平台</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4405"/>
        <w:gridCol w:w="4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3292" w:hRule="atLeast"/>
          <w:jc w:val="center"/>
        </w:trPr>
        <w:tc>
          <w:tcPr>
            <w:tcW w:w="4405" w:type="dxa"/>
            <w:tcBorders>
              <w:tl2br w:val="nil"/>
              <w:tr2bl w:val="nil"/>
            </w:tcBorders>
            <w:vAlign w:val="top"/>
          </w:tcPr>
          <w:p>
            <w:pPr>
              <w:spacing w:line="360" w:lineRule="auto"/>
              <w:jc w:val="center"/>
              <w:rPr>
                <w:rFonts w:ascii="宋体" w:hAnsi="宋体" w:eastAsia="宋体" w:cs="微软雅黑"/>
                <w:sz w:val="24"/>
                <w:vertAlign w:val="baseline"/>
              </w:rPr>
            </w:pPr>
            <w:r>
              <w:rPr>
                <w:rFonts w:hint="eastAsia" w:ascii="宋体" w:hAnsi="宋体" w:eastAsia="宋体" w:cs="微软雅黑"/>
                <w:sz w:val="24"/>
              </w:rPr>
              <w:t>L系列飞行平台</w:t>
            </w:r>
            <w:r>
              <w:rPr>
                <w:rFonts w:hint="eastAsia" w:ascii="宋体" w:hAnsi="宋体" w:eastAsia="宋体" w:cs="微软雅黑"/>
                <w:sz w:val="24"/>
              </w:rPr>
              <w:drawing>
                <wp:anchor distT="0" distB="0" distL="114300" distR="114300" simplePos="0" relativeHeight="251662336" behindDoc="0" locked="0" layoutInCell="1" allowOverlap="1">
                  <wp:simplePos x="0" y="0"/>
                  <wp:positionH relativeFrom="column">
                    <wp:posOffset>15875</wp:posOffset>
                  </wp:positionH>
                  <wp:positionV relativeFrom="paragraph">
                    <wp:posOffset>-1908175</wp:posOffset>
                  </wp:positionV>
                  <wp:extent cx="2724150" cy="1984375"/>
                  <wp:effectExtent l="0" t="0" r="6350" b="9525"/>
                  <wp:wrapSquare wrapText="bothSides"/>
                  <wp:docPr id="1" name="图片 1" descr="b6ab51b2e77ce3cd3971c61c6f04b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6ab51b2e77ce3cd3971c61c6f04b04"/>
                          <pic:cNvPicPr>
                            <a:picLocks noChangeAspect="1"/>
                          </pic:cNvPicPr>
                        </pic:nvPicPr>
                        <pic:blipFill>
                          <a:blip r:embed="rId8"/>
                          <a:stretch>
                            <a:fillRect/>
                          </a:stretch>
                        </pic:blipFill>
                        <pic:spPr>
                          <a:xfrm>
                            <a:off x="0" y="0"/>
                            <a:ext cx="2724150" cy="1984375"/>
                          </a:xfrm>
                          <a:prstGeom prst="rect">
                            <a:avLst/>
                          </a:prstGeom>
                        </pic:spPr>
                      </pic:pic>
                    </a:graphicData>
                  </a:graphic>
                </wp:anchor>
              </w:drawing>
            </w:r>
          </w:p>
        </w:tc>
        <w:tc>
          <w:tcPr>
            <w:tcW w:w="4094" w:type="dxa"/>
            <w:tcBorders>
              <w:tl2br w:val="nil"/>
              <w:tr2bl w:val="nil"/>
            </w:tcBorders>
            <w:vAlign w:val="top"/>
          </w:tcPr>
          <w:p>
            <w:pPr>
              <w:spacing w:line="360" w:lineRule="auto"/>
              <w:jc w:val="center"/>
              <w:rPr>
                <w:rFonts w:ascii="宋体" w:hAnsi="宋体" w:eastAsia="宋体" w:cs="微软雅黑"/>
                <w:sz w:val="24"/>
                <w:vertAlign w:val="baseline"/>
              </w:rPr>
            </w:pPr>
            <w:r>
              <w:rPr>
                <w:rFonts w:hint="eastAsia" w:ascii="宋体" w:hAnsi="宋体" w:eastAsia="宋体" w:cs="微软雅黑"/>
                <w:sz w:val="24"/>
              </w:rPr>
              <w:drawing>
                <wp:inline distT="0" distB="0" distL="114300" distR="114300">
                  <wp:extent cx="2495550" cy="1965325"/>
                  <wp:effectExtent l="0" t="0" r="6350" b="3175"/>
                  <wp:docPr id="3" name="图片 3" descr="fdc53d26079f65b7f85325ab7864b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dc53d26079f65b7f85325ab7864bef"/>
                          <pic:cNvPicPr>
                            <a:picLocks noChangeAspect="1"/>
                          </pic:cNvPicPr>
                        </pic:nvPicPr>
                        <pic:blipFill>
                          <a:blip r:embed="rId9"/>
                          <a:stretch>
                            <a:fillRect/>
                          </a:stretch>
                        </pic:blipFill>
                        <pic:spPr>
                          <a:xfrm>
                            <a:off x="0" y="0"/>
                            <a:ext cx="2495550" cy="1965325"/>
                          </a:xfrm>
                          <a:prstGeom prst="rect">
                            <a:avLst/>
                          </a:prstGeom>
                        </pic:spPr>
                      </pic:pic>
                    </a:graphicData>
                  </a:graphic>
                </wp:inline>
              </w:drawing>
            </w:r>
            <w:r>
              <w:rPr>
                <w:rFonts w:hint="eastAsia" w:ascii="宋体" w:hAnsi="宋体" w:eastAsia="宋体" w:cs="微软雅黑"/>
                <w:sz w:val="24"/>
              </w:rPr>
              <w:t>LINE系列飞控系统</w:t>
            </w:r>
          </w:p>
        </w:tc>
      </w:tr>
    </w:tbl>
    <w:p>
      <w:pPr>
        <w:spacing w:line="360" w:lineRule="auto"/>
        <w:ind w:firstLine="480" w:firstLineChars="200"/>
        <w:rPr>
          <w:rFonts w:hint="eastAsia" w:ascii="宋体" w:hAnsi="宋体" w:eastAsia="宋体" w:cs="微软雅黑"/>
          <w:sz w:val="24"/>
        </w:rPr>
      </w:pPr>
      <w:r>
        <w:rPr>
          <w:rFonts w:hint="eastAsia" w:ascii="宋体" w:hAnsi="宋体" w:eastAsia="宋体" w:cs="微软雅黑"/>
          <w:sz w:val="24"/>
        </w:rPr>
        <w:t xml:space="preserve">                           </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97"/>
        <w:gridCol w:w="40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9" w:hRule="atLeast"/>
          <w:jc w:val="center"/>
        </w:trPr>
        <w:tc>
          <w:tcPr>
            <w:tcW w:w="4197" w:type="dxa"/>
            <w:tcBorders>
              <w:tl2br w:val="nil"/>
              <w:tr2bl w:val="nil"/>
            </w:tcBorders>
            <w:vAlign w:val="top"/>
          </w:tcPr>
          <w:p>
            <w:pPr>
              <w:spacing w:line="360" w:lineRule="auto"/>
              <w:jc w:val="center"/>
            </w:pPr>
            <w:r>
              <w:drawing>
                <wp:inline distT="0" distB="0" distL="114300" distR="114300">
                  <wp:extent cx="1127125" cy="1457325"/>
                  <wp:effectExtent l="15875" t="15875" r="25400" b="25400"/>
                  <wp:docPr id="9" name="图片 24" descr="微信图片_20180227204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4" descr="微信图片_20180227204506.jpg"/>
                          <pic:cNvPicPr>
                            <a:picLocks noChangeAspect="1"/>
                          </pic:cNvPicPr>
                        </pic:nvPicPr>
                        <pic:blipFill>
                          <a:blip r:embed="rId10" cstate="print"/>
                          <a:srcRect/>
                          <a:stretch>
                            <a:fillRect/>
                          </a:stretch>
                        </pic:blipFill>
                        <pic:spPr>
                          <a:xfrm>
                            <a:off x="0" y="0"/>
                            <a:ext cx="1127125" cy="1457325"/>
                          </a:xfrm>
                          <a:prstGeom prst="rect">
                            <a:avLst/>
                          </a:prstGeom>
                          <a:noFill/>
                          <a:ln w="15875">
                            <a:solidFill>
                              <a:schemeClr val="accent1"/>
                            </a:solidFill>
                            <a:miter lim="800000"/>
                            <a:headEnd/>
                            <a:tailEnd/>
                          </a:ln>
                        </pic:spPr>
                      </pic:pic>
                    </a:graphicData>
                  </a:graphic>
                </wp:inline>
              </w:drawing>
            </w:r>
            <w:r>
              <w:drawing>
                <wp:inline distT="0" distB="0" distL="114300" distR="114300">
                  <wp:extent cx="1104900" cy="1469390"/>
                  <wp:effectExtent l="15875" t="15875" r="22225" b="2603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noChangeArrowheads="1"/>
                          </pic:cNvPicPr>
                        </pic:nvPicPr>
                        <pic:blipFill>
                          <a:blip r:embed="rId11" cstate="print"/>
                          <a:srcRect/>
                          <a:stretch>
                            <a:fillRect/>
                          </a:stretch>
                        </pic:blipFill>
                        <pic:spPr>
                          <a:xfrm>
                            <a:off x="0" y="0"/>
                            <a:ext cx="1104900" cy="1469390"/>
                          </a:xfrm>
                          <a:prstGeom prst="rect">
                            <a:avLst/>
                          </a:prstGeom>
                          <a:noFill/>
                          <a:ln w="15875">
                            <a:solidFill>
                              <a:schemeClr val="accent1"/>
                            </a:solidFill>
                            <a:miter lim="800000"/>
                            <a:headEnd/>
                            <a:tailEnd/>
                          </a:ln>
                        </pic:spPr>
                      </pic:pic>
                    </a:graphicData>
                  </a:graphic>
                </wp:inline>
              </w:drawing>
            </w:r>
          </w:p>
          <w:p>
            <w:pPr>
              <w:spacing w:line="360" w:lineRule="auto"/>
              <w:jc w:val="center"/>
              <w:rPr>
                <w:rFonts w:ascii="宋体" w:hAnsi="宋体" w:eastAsia="宋体" w:cs="微软雅黑"/>
                <w:sz w:val="24"/>
                <w:vertAlign w:val="baseline"/>
              </w:rPr>
            </w:pPr>
            <w:r>
              <w:rPr>
                <w:rFonts w:hint="eastAsia" w:ascii="宋体" w:hAnsi="宋体" w:eastAsia="宋体" w:cs="微软雅黑"/>
                <w:sz w:val="24"/>
              </w:rPr>
              <w:t>故障诊断/半实物仿真</w:t>
            </w:r>
          </w:p>
        </w:tc>
        <w:tc>
          <w:tcPr>
            <w:tcW w:w="4062" w:type="dxa"/>
            <w:tcBorders>
              <w:tl2br w:val="nil"/>
              <w:tr2bl w:val="nil"/>
            </w:tcBorders>
            <w:vAlign w:val="top"/>
          </w:tcPr>
          <w:p>
            <w:pPr>
              <w:spacing w:line="360" w:lineRule="auto"/>
              <w:jc w:val="center"/>
            </w:pPr>
            <w:r>
              <w:drawing>
                <wp:inline distT="0" distB="0" distL="114300" distR="114300">
                  <wp:extent cx="2252345" cy="1491615"/>
                  <wp:effectExtent l="15875" t="15875" r="17780" b="16510"/>
                  <wp:docPr id="11" name="图片 25"/>
                  <wp:cNvGraphicFramePr/>
                  <a:graphic xmlns:a="http://schemas.openxmlformats.org/drawingml/2006/main">
                    <a:graphicData uri="http://schemas.openxmlformats.org/drawingml/2006/picture">
                      <pic:pic xmlns:pic="http://schemas.openxmlformats.org/drawingml/2006/picture">
                        <pic:nvPicPr>
                          <pic:cNvPr id="11" name="图片 25"/>
                          <pic:cNvPicPr/>
                        </pic:nvPicPr>
                        <pic:blipFill>
                          <a:blip r:embed="rId12" cstate="print"/>
                          <a:stretch>
                            <a:fillRect/>
                          </a:stretch>
                        </pic:blipFill>
                        <pic:spPr>
                          <a:xfrm>
                            <a:off x="0" y="0"/>
                            <a:ext cx="2252781" cy="1491658"/>
                          </a:xfrm>
                          <a:prstGeom prst="rect">
                            <a:avLst/>
                          </a:prstGeom>
                          <a:ln w="15875">
                            <a:solidFill>
                              <a:schemeClr val="accent1"/>
                            </a:solidFill>
                          </a:ln>
                        </pic:spPr>
                      </pic:pic>
                    </a:graphicData>
                  </a:graphic>
                </wp:inline>
              </w:drawing>
            </w:r>
          </w:p>
          <w:p>
            <w:pPr>
              <w:spacing w:line="360" w:lineRule="auto"/>
              <w:jc w:val="center"/>
              <w:rPr>
                <w:rFonts w:ascii="宋体" w:hAnsi="宋体" w:eastAsia="宋体" w:cs="微软雅黑"/>
                <w:sz w:val="24"/>
                <w:vertAlign w:val="baseline"/>
              </w:rPr>
            </w:pPr>
            <w:r>
              <w:rPr>
                <w:rFonts w:hint="eastAsia" w:ascii="宋体" w:hAnsi="宋体" w:eastAsia="宋体" w:cs="微软雅黑"/>
                <w:sz w:val="24"/>
              </w:rPr>
              <w:t>无人系统数据管理平台</w:t>
            </w:r>
          </w:p>
        </w:tc>
      </w:tr>
    </w:tbl>
    <w:p>
      <w:pPr>
        <w:spacing w:line="360" w:lineRule="auto"/>
        <w:ind w:firstLine="480" w:firstLineChars="200"/>
        <w:rPr>
          <w:rFonts w:ascii="宋体" w:hAnsi="宋体" w:eastAsia="宋体" w:cs="微软雅黑"/>
          <w:sz w:val="24"/>
        </w:rPr>
      </w:pPr>
      <w:r>
        <w:rPr>
          <w:rFonts w:hint="eastAsia" w:ascii="宋体" w:hAnsi="宋体" w:eastAsia="宋体" w:cs="微软雅黑"/>
          <w:sz w:val="24"/>
        </w:rPr>
        <w:t xml:space="preserve">  </w:t>
      </w:r>
    </w:p>
    <w:p>
      <w:pPr>
        <w:spacing w:line="360" w:lineRule="auto"/>
        <w:rPr>
          <w:b/>
          <w:sz w:val="24"/>
        </w:rPr>
      </w:pPr>
      <w:bookmarkStart w:id="0" w:name="_GoBack"/>
      <w:bookmarkEnd w:id="0"/>
      <w:r>
        <w:rPr>
          <w:rFonts w:hint="eastAsia"/>
          <w:b/>
          <w:sz w:val="24"/>
        </w:rPr>
        <w:t>四、</w:t>
      </w:r>
      <w:r>
        <w:rPr>
          <w:rStyle w:val="13"/>
          <w:rFonts w:hint="eastAsia" w:ascii="Arial" w:hAnsi="Arial" w:eastAsia="Arial" w:cs="Arial"/>
          <w:bCs/>
          <w:color w:val="191919"/>
          <w:sz w:val="24"/>
          <w:shd w:val="clear" w:color="auto" w:fill="FFFFFF"/>
        </w:rPr>
        <w:t>共议无人机专业建设和人才培养模式</w:t>
      </w:r>
    </w:p>
    <w:p>
      <w:pPr>
        <w:widowControl/>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1、课内实践</w:t>
      </w:r>
    </w:p>
    <w:p>
      <w:pPr>
        <w:spacing w:line="360" w:lineRule="auto"/>
        <w:ind w:firstLine="480" w:firstLineChars="200"/>
        <w:rPr>
          <w:rFonts w:ascii="宋体" w:hAnsi="宋体" w:eastAsia="宋体" w:cs="微软雅黑"/>
          <w:sz w:val="24"/>
        </w:rPr>
      </w:pPr>
      <w:r>
        <w:rPr>
          <w:rFonts w:hint="eastAsia" w:ascii="宋体" w:hAnsi="宋体" w:eastAsia="宋体" w:cs="微软雅黑"/>
          <w:sz w:val="24"/>
        </w:rPr>
        <w:t>在学校原有专业建设下，校企共同开发无人机应用技术专业人才培养方案，学校教师参与教材建设及实践教学。江苏蓝鲸选派高级技术工程师担任</w:t>
      </w:r>
      <w:r>
        <w:rPr>
          <w:rFonts w:hint="eastAsia" w:ascii="宋体" w:hAnsi="宋体" w:eastAsia="宋体" w:cs="宋体"/>
          <w:kern w:val="0"/>
          <w:sz w:val="24"/>
        </w:rPr>
        <w:t>无人机导航定位技术（专业课）以及</w:t>
      </w:r>
      <w:r>
        <w:rPr>
          <w:rFonts w:hint="eastAsia" w:ascii="宋体" w:hAnsi="宋体" w:eastAsia="宋体" w:cs="微软雅黑"/>
          <w:sz w:val="24"/>
        </w:rPr>
        <w:t>遥控遥测技术Ⅱ（选修课）课程教学，并专门研发适用教学使用的传感器套件、定位套件、无人系统应用图形编程开发平台、无人机半实物仿真开发实训软件和平台、无人机故障设置与诊断软件和平台等，项目涵盖了无人机基本技能实训（装配、调试、维修、仿真、飞行、二次开发及云数据管理），无人机行业应用（电力巡检、航拍测绘、农业植保等），逐步提高学生实践操作技能。</w:t>
      </w:r>
    </w:p>
    <w:p>
      <w:pPr>
        <w:widowControl/>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2、教学科研双向合作</w:t>
      </w:r>
    </w:p>
    <w:p>
      <w:pPr>
        <w:widowControl/>
        <w:spacing w:line="360" w:lineRule="auto"/>
        <w:ind w:firstLine="480" w:firstLineChars="200"/>
        <w:jc w:val="left"/>
        <w:rPr>
          <w:rFonts w:ascii="宋体" w:hAnsi="宋体" w:eastAsia="宋体" w:cs="微软雅黑"/>
          <w:sz w:val="24"/>
        </w:rPr>
      </w:pPr>
      <w:r>
        <w:rPr>
          <w:rFonts w:hint="eastAsia" w:ascii="Arial" w:hAnsi="Arial" w:eastAsia="Arial" w:cs="Arial"/>
          <w:color w:val="191919"/>
          <w:sz w:val="24"/>
          <w:shd w:val="clear" w:color="auto" w:fill="FFFFFF"/>
        </w:rPr>
        <w:t>建立双向人才输送和培养机制，</w:t>
      </w:r>
      <w:r>
        <w:rPr>
          <w:rFonts w:hint="eastAsia" w:ascii="宋体" w:hAnsi="宋体" w:eastAsia="宋体" w:cs="微软雅黑"/>
          <w:sz w:val="24"/>
        </w:rPr>
        <w:t>围绕企业技术难题、产业关键技术、核心工艺等，江苏蓝鲸聘用南工数名博士担任科学技术创新专家（无人机动力系统、结构、材料等方向），提供有关设备、企业产品科技优化、创新、改造等技术服务。南工在横向课题（技术开发合同）中就飞行器人工智能技术应用平台开发、三维模型偏差分析系统研发等方面与江苏蓝鲸展开研发合作，充分调动高校科技人员积极性，促进科技成果向现实生产力转化，提升高校科技成果转移、转化水平，切实增强高校服务经济社会发展能力。</w:t>
      </w:r>
    </w:p>
    <w:p>
      <w:pPr>
        <w:widowControl/>
        <w:numPr>
          <w:ilvl w:val="0"/>
          <w:numId w:val="2"/>
        </w:numPr>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实训基地</w:t>
      </w:r>
    </w:p>
    <w:p>
      <w:pPr>
        <w:widowControl/>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按</w:t>
      </w:r>
      <w:r>
        <w:rPr>
          <w:rFonts w:ascii="宋体" w:hAnsi="宋体" w:eastAsia="宋体" w:cs="微软雅黑"/>
          <w:sz w:val="24"/>
        </w:rPr>
        <w:t>照将无人机生产、维修搬入实训室的建设思路，企业兼职教师在生产现场直接开展专业教学，实现校企联合教学。依托实训基地人力资源和设备条件，开拓实训、培训等服务功能，促进专业人才培养工作高效开展，提升无人机专业人才培养质量。</w:t>
      </w:r>
    </w:p>
    <w:p>
      <w:pPr>
        <w:widowControl/>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4、以行业竞赛对高职院校进行培训</w:t>
      </w:r>
    </w:p>
    <w:p>
      <w:pPr>
        <w:widowControl/>
        <w:spacing w:line="360" w:lineRule="auto"/>
        <w:jc w:val="left"/>
        <w:rPr>
          <w:rFonts w:ascii="宋体" w:hAnsi="宋体" w:eastAsia="宋体" w:cs="微软雅黑"/>
          <w:sz w:val="24"/>
        </w:rPr>
      </w:pPr>
      <w:r>
        <w:rPr>
          <w:rFonts w:hint="eastAsia" w:ascii="宋体" w:hAnsi="宋体" w:eastAsia="宋体" w:cs="微软雅黑"/>
          <w:sz w:val="24"/>
        </w:rPr>
        <w:t xml:space="preserve">    “以赛促学，以赛促教”，促进无人机专业教学模式和教学方法改革，促进学风建设，激励学生的个性发展，培养学生的创新意识、实践能力、团队精神、工匠精神，锻炼教师的实践技能，强化师资队伍业务素质，提高无人机学院实训资源利用率、深化产教融合、校企合作，进而提高学院办学质量，扩大学院名誉度、知名度、社会影响力。</w:t>
      </w:r>
    </w:p>
    <w:p>
      <w:pPr>
        <w:widowControl/>
        <w:spacing w:line="360" w:lineRule="auto"/>
        <w:ind w:firstLine="480" w:firstLineChars="200"/>
        <w:jc w:val="left"/>
        <w:rPr>
          <w:rFonts w:ascii="宋体" w:hAnsi="宋体" w:eastAsia="宋体" w:cs="微软雅黑"/>
          <w:sz w:val="24"/>
        </w:rPr>
      </w:pPr>
      <w:r>
        <w:rPr>
          <w:rFonts w:hint="eastAsia" w:ascii="宋体" w:hAnsi="宋体" w:eastAsia="宋体" w:cs="微软雅黑"/>
          <w:sz w:val="24"/>
        </w:rPr>
        <w:t>江苏蓝鲸是全国人工智能应用技术技能大赛核心供应商，也是</w:t>
      </w:r>
      <w:r>
        <w:rPr>
          <w:rFonts w:hint="eastAsia" w:ascii="宋体" w:hAnsi="宋体" w:eastAsia="宋体" w:cs="宋体"/>
          <w:kern w:val="0"/>
          <w:sz w:val="24"/>
        </w:rPr>
        <w:t>江苏技能状元大赛的技术支持方，</w:t>
      </w:r>
      <w:r>
        <w:rPr>
          <w:rFonts w:hint="eastAsia" w:ascii="宋体" w:hAnsi="宋体" w:eastAsia="宋体" w:cs="微软雅黑"/>
          <w:sz w:val="24"/>
        </w:rPr>
        <w:t>是各中高职院校参与无人机大赛的技术培训方。江苏蓝鲸根据比赛方案和规则，分阶段制定有效的训练计划（基础模块、专门化模块、综合模块、模拟比赛模块等），并针对完成情况及问题，进行总结分析，动态修订训练计划，保证参赛老师和学生完全掌握比赛所需要的项目。</w:t>
      </w:r>
    </w:p>
    <w:p>
      <w:pPr>
        <w:spacing w:line="360" w:lineRule="auto"/>
        <w:rPr>
          <w:b/>
          <w:sz w:val="24"/>
        </w:rPr>
      </w:pPr>
      <w:r>
        <w:rPr>
          <w:rFonts w:hint="eastAsia"/>
          <w:b/>
          <w:sz w:val="24"/>
        </w:rPr>
        <w:t>五、双向合作助推企业发展</w:t>
      </w:r>
    </w:p>
    <w:p>
      <w:pPr>
        <w:spacing w:line="360" w:lineRule="auto"/>
        <w:ind w:firstLine="480" w:firstLineChars="200"/>
        <w:rPr>
          <w:rFonts w:asciiTheme="minorEastAsia" w:hAnsiTheme="minorEastAsia"/>
          <w:sz w:val="24"/>
        </w:rPr>
      </w:pPr>
      <w:r>
        <w:rPr>
          <w:rFonts w:hint="eastAsia" w:asciiTheme="minorEastAsia" w:hAnsiTheme="minorEastAsia"/>
          <w:sz w:val="24"/>
        </w:rPr>
        <w:t>“双向互动”校企合作机制的实施，必将为双方带来“双赢”。对于学校来说，建立起“教学一体”的实景实训场地，能扎扎实实落实生产性实训任务，顺利推动“工学结合、学工一体”的人才培养模式改革。对企业而言，也实现了自身利益目标,学校提供场地、设备、技术、培训，为企业节约了大量资金投入、研发成本、培训成本和管理成本，提高了经济效益；同时学校提供稳固的、具有明显优势的人才和技术支撑，使企业发展具有充足的后劲。</w:t>
      </w:r>
    </w:p>
    <w:p>
      <w:pPr>
        <w:spacing w:line="360" w:lineRule="auto"/>
        <w:rPr>
          <w:b/>
          <w:sz w:val="24"/>
        </w:rPr>
      </w:pPr>
      <w:r>
        <w:rPr>
          <w:rFonts w:hint="eastAsia"/>
          <w:b/>
          <w:sz w:val="24"/>
        </w:rPr>
        <w:t>六、保障体系</w:t>
      </w:r>
    </w:p>
    <w:p>
      <w:pPr>
        <w:widowControl/>
        <w:spacing w:line="360" w:lineRule="auto"/>
        <w:ind w:firstLine="480" w:firstLineChars="200"/>
        <w:jc w:val="left"/>
        <w:rPr>
          <w:rFonts w:asciiTheme="minorEastAsia" w:hAnsiTheme="minorEastAsia"/>
          <w:sz w:val="24"/>
        </w:rPr>
      </w:pPr>
      <w:r>
        <w:rPr>
          <w:rFonts w:hint="eastAsia" w:asciiTheme="minorEastAsia" w:hAnsiTheme="minorEastAsia"/>
          <w:sz w:val="24"/>
        </w:rPr>
        <w:t>校企合作是一种以市场和社会需求为导向的运行机制，是培养技能型、应用型人才的有效方法，是今后职业院校改革和发展的方向。江苏蓝鲸智慧空间</w:t>
      </w:r>
      <w:r>
        <w:rPr>
          <w:rFonts w:asciiTheme="minorEastAsia" w:hAnsiTheme="minorEastAsia"/>
          <w:sz w:val="24"/>
        </w:rPr>
        <w:t>将</w:t>
      </w:r>
      <w:r>
        <w:rPr>
          <w:rFonts w:hint="eastAsia" w:asciiTheme="minorEastAsia" w:hAnsiTheme="minorEastAsia"/>
          <w:sz w:val="24"/>
        </w:rPr>
        <w:t>继续开发和完善有利于高校教育目标和课程体系，加强对学生专业技能的培训，将学习到的理论知识运用到实践中。同时为教师提供更多的实际操作平台，将专业的理论知识通过实践操作的方式进行讲解，推动教学的改革。</w:t>
      </w:r>
    </w:p>
    <w:p>
      <w:pPr>
        <w:numPr>
          <w:ilvl w:val="0"/>
          <w:numId w:val="3"/>
        </w:numPr>
        <w:spacing w:line="360" w:lineRule="auto"/>
        <w:rPr>
          <w:b/>
          <w:sz w:val="24"/>
        </w:rPr>
      </w:pPr>
      <w:r>
        <w:rPr>
          <w:rFonts w:hint="eastAsia"/>
          <w:b/>
          <w:sz w:val="24"/>
        </w:rPr>
        <w:t>问题与展望</w:t>
      </w:r>
    </w:p>
    <w:p>
      <w:pPr>
        <w:spacing w:line="360" w:lineRule="auto"/>
        <w:ind w:firstLine="480" w:firstLineChars="200"/>
        <w:rPr>
          <w:rFonts w:asciiTheme="minorEastAsia" w:hAnsiTheme="minorEastAsia"/>
          <w:sz w:val="24"/>
        </w:rPr>
      </w:pPr>
      <w:r>
        <w:rPr>
          <w:rFonts w:hint="eastAsia" w:asciiTheme="minorEastAsia" w:hAnsiTheme="minorEastAsia"/>
          <w:sz w:val="24"/>
        </w:rPr>
        <w:t>江苏蓝鲸和南京工业职业大学通过校企合作形成“人才共育、过程共管、成果共享、责任共担”的紧密型校企协同育人的长效机制，深化校企合作、推进产教融合，增强办学活力，提高办学水平，人才培养质量进一步提高。</w:t>
      </w:r>
    </w:p>
    <w:p>
      <w:pPr>
        <w:spacing w:line="360" w:lineRule="auto"/>
        <w:ind w:firstLine="480" w:firstLineChars="200"/>
        <w:rPr>
          <w:rFonts w:asciiTheme="minorEastAsia" w:hAnsiTheme="minorEastAsia"/>
          <w:sz w:val="24"/>
        </w:rPr>
      </w:pPr>
      <w:r>
        <w:rPr>
          <w:rFonts w:hint="eastAsia" w:asciiTheme="minorEastAsia" w:hAnsiTheme="minorEastAsia"/>
          <w:sz w:val="24"/>
        </w:rPr>
        <w:t>校企双方合作制定培养目标、培养标准、管理办法、实施方案等，学校和企业各自发挥主体作用，保证理论学习、基本技能训练、岗位专业技能培养的质量，人才培养质量体现校企“双保证”。通过校企合作,为企业发展提供人才支撑和智力支持，丰富高校教学实践，为高校学生提供高质量就业机会，提高人才成长率和减少流失率。在深化双方沟通交流的同时，实现“优势互补、资源共享、互惠双赢、共同发展”的学生、院校、企业三方受益局面。</w:t>
      </w:r>
    </w:p>
    <w:p>
      <w:pPr>
        <w:spacing w:line="360" w:lineRule="auto"/>
        <w:ind w:firstLine="480" w:firstLineChars="200"/>
        <w:rPr>
          <w:rFonts w:asciiTheme="minorEastAsia" w:hAnsiTheme="minorEastAsia"/>
          <w:sz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9DF18"/>
    <w:multiLevelType w:val="singleLevel"/>
    <w:tmpl w:val="9DC9DF18"/>
    <w:lvl w:ilvl="0" w:tentative="0">
      <w:start w:val="3"/>
      <w:numFmt w:val="decimal"/>
      <w:suff w:val="nothing"/>
      <w:lvlText w:val="%1、"/>
      <w:lvlJc w:val="left"/>
    </w:lvl>
  </w:abstractNum>
  <w:abstractNum w:abstractNumId="1">
    <w:nsid w:val="0ED2764C"/>
    <w:multiLevelType w:val="singleLevel"/>
    <w:tmpl w:val="0ED2764C"/>
    <w:lvl w:ilvl="0" w:tentative="0">
      <w:start w:val="2"/>
      <w:numFmt w:val="chineseCounting"/>
      <w:suff w:val="nothing"/>
      <w:lvlText w:val="%1、"/>
      <w:lvlJc w:val="left"/>
      <w:rPr>
        <w:rFonts w:hint="eastAsia"/>
      </w:rPr>
    </w:lvl>
  </w:abstractNum>
  <w:abstractNum w:abstractNumId="2">
    <w:nsid w:val="54FBDF97"/>
    <w:multiLevelType w:val="singleLevel"/>
    <w:tmpl w:val="54FBDF97"/>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I4NDhjZWY1MGQ2Y2M1ZmE0Mzk0YjIzZDVhZjlkOGMifQ=="/>
  </w:docVars>
  <w:rsids>
    <w:rsidRoot w:val="45E80300"/>
    <w:rsid w:val="000456A3"/>
    <w:rsid w:val="000D6BE6"/>
    <w:rsid w:val="000F06DA"/>
    <w:rsid w:val="00173B56"/>
    <w:rsid w:val="002E7A13"/>
    <w:rsid w:val="0039455F"/>
    <w:rsid w:val="004116BC"/>
    <w:rsid w:val="00450D26"/>
    <w:rsid w:val="005C7404"/>
    <w:rsid w:val="005D59DB"/>
    <w:rsid w:val="006277BF"/>
    <w:rsid w:val="006B1F10"/>
    <w:rsid w:val="006B69E2"/>
    <w:rsid w:val="006D0521"/>
    <w:rsid w:val="00715132"/>
    <w:rsid w:val="008466B1"/>
    <w:rsid w:val="0085618F"/>
    <w:rsid w:val="00870FC4"/>
    <w:rsid w:val="008D5067"/>
    <w:rsid w:val="00942972"/>
    <w:rsid w:val="00A245AC"/>
    <w:rsid w:val="00A505BD"/>
    <w:rsid w:val="00B62FD6"/>
    <w:rsid w:val="00B943D3"/>
    <w:rsid w:val="00C127F2"/>
    <w:rsid w:val="00C73C00"/>
    <w:rsid w:val="00CD61CC"/>
    <w:rsid w:val="00DB51EF"/>
    <w:rsid w:val="00E603B9"/>
    <w:rsid w:val="00E841F1"/>
    <w:rsid w:val="00ED673B"/>
    <w:rsid w:val="00F212F5"/>
    <w:rsid w:val="067313E6"/>
    <w:rsid w:val="0E154CBF"/>
    <w:rsid w:val="12CB7222"/>
    <w:rsid w:val="16B67581"/>
    <w:rsid w:val="1CF23715"/>
    <w:rsid w:val="200A4235"/>
    <w:rsid w:val="22930B71"/>
    <w:rsid w:val="250D1A64"/>
    <w:rsid w:val="25137D3D"/>
    <w:rsid w:val="29D86C15"/>
    <w:rsid w:val="2A397257"/>
    <w:rsid w:val="2C842C19"/>
    <w:rsid w:val="2E4B76E9"/>
    <w:rsid w:val="32183560"/>
    <w:rsid w:val="33FA5D62"/>
    <w:rsid w:val="352C52C8"/>
    <w:rsid w:val="36DB5BCE"/>
    <w:rsid w:val="3C254A0B"/>
    <w:rsid w:val="41C714DA"/>
    <w:rsid w:val="42920DB0"/>
    <w:rsid w:val="45E80300"/>
    <w:rsid w:val="48C17841"/>
    <w:rsid w:val="4C6D617C"/>
    <w:rsid w:val="50D629C1"/>
    <w:rsid w:val="546F1667"/>
    <w:rsid w:val="5DF6006E"/>
    <w:rsid w:val="5E8F1501"/>
    <w:rsid w:val="604328A8"/>
    <w:rsid w:val="612741E8"/>
    <w:rsid w:val="697F1827"/>
    <w:rsid w:val="6A013342"/>
    <w:rsid w:val="700B68E7"/>
    <w:rsid w:val="7CEE3442"/>
    <w:rsid w:val="7D294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jc w:val="center"/>
      <w:outlineLvl w:val="1"/>
    </w:pPr>
    <w:rPr>
      <w:rFonts w:ascii="Arial" w:hAnsi="Arial" w:eastAsia="微软雅黑"/>
      <w:b/>
      <w:sz w:val="32"/>
      <w:szCs w:val="22"/>
    </w:rPr>
  </w:style>
  <w:style w:type="paragraph" w:styleId="4">
    <w:name w:val="heading 3"/>
    <w:basedOn w:val="1"/>
    <w:next w:val="1"/>
    <w:unhideWhenUsed/>
    <w:qFormat/>
    <w:uiPriority w:val="0"/>
    <w:pPr>
      <w:keepNext/>
      <w:keepLines/>
      <w:spacing w:before="260" w:after="260" w:line="413" w:lineRule="auto"/>
      <w:outlineLvl w:val="2"/>
    </w:pPr>
    <w:rPr>
      <w:rFonts w:ascii="微软雅黑" w:hAnsi="微软雅黑" w:eastAsia="微软雅黑"/>
      <w:b/>
      <w:sz w:val="30"/>
      <w:szCs w:val="2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link w:val="15"/>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paragraph" w:customStyle="1" w:styleId="14">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character" w:customStyle="1" w:styleId="15">
    <w:name w:val="批注框文本 字符"/>
    <w:basedOn w:val="12"/>
    <w:link w:val="6"/>
    <w:qFormat/>
    <w:uiPriority w:val="0"/>
    <w:rPr>
      <w:kern w:val="2"/>
      <w:sz w:val="18"/>
      <w:szCs w:val="18"/>
    </w:rPr>
  </w:style>
  <w:style w:type="character" w:customStyle="1" w:styleId="16">
    <w:name w:val="页眉 字符"/>
    <w:basedOn w:val="12"/>
    <w:link w:val="8"/>
    <w:qFormat/>
    <w:uiPriority w:val="0"/>
    <w:rPr>
      <w:kern w:val="2"/>
      <w:sz w:val="18"/>
      <w:szCs w:val="18"/>
    </w:rPr>
  </w:style>
  <w:style w:type="character" w:customStyle="1" w:styleId="17">
    <w:name w:val="页脚 字符"/>
    <w:basedOn w:val="12"/>
    <w:link w:val="7"/>
    <w:qFormat/>
    <w:uiPriority w:val="0"/>
    <w:rPr>
      <w:kern w:val="2"/>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2609</Words>
  <Characters>2639</Characters>
  <Lines>19</Lines>
  <Paragraphs>5</Paragraphs>
  <TotalTime>2</TotalTime>
  <ScaleCrop>false</ScaleCrop>
  <LinksUpToDate>false</LinksUpToDate>
  <CharactersWithSpaces>2712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2019-11-08T04:06:00Z</dcterms:created>
  <dc:creator>Administrator</dc:creator>
  <cp:lastModifiedBy>茅晓薇</cp:lastModifiedBy>
  <cp:lastPrinted>2018-04-12T02:17:00Z</cp:lastPrinted>
  <dcterms:modified xsi:type="dcterms:W3CDTF">2022-12-22T08:15:58Z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8F05E048E087462E88D63F8B22240E04</vt:lpwstr>
  </property>
</Properties>
</file>