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before="136" w:line="222" w:lineRule="auto"/>
        <w:ind w:left="567"/>
        <w:rPr>
          <w:rFonts w:ascii="黑体" w:hAnsi="黑体" w:eastAsia="黑体" w:cs="黑体"/>
          <w:sz w:val="42"/>
          <w:szCs w:val="42"/>
        </w:rPr>
      </w:pPr>
      <w:r>
        <w:drawing>
          <wp:anchor distT="0" distB="0" distL="0" distR="0" simplePos="0" relativeHeight="251659264" behindDoc="0" locked="0" layoutInCell="1" allowOverlap="1">
            <wp:simplePos x="0" y="0"/>
            <wp:positionH relativeFrom="column">
              <wp:posOffset>1054100</wp:posOffset>
            </wp:positionH>
            <wp:positionV relativeFrom="paragraph">
              <wp:posOffset>472440</wp:posOffset>
            </wp:positionV>
            <wp:extent cx="1492250" cy="1485900"/>
            <wp:effectExtent l="0" t="0" r="6350" b="0"/>
            <wp:wrapNone/>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4"/>
                    <a:stretch>
                      <a:fillRect/>
                    </a:stretch>
                  </pic:blipFill>
                  <pic:spPr>
                    <a:xfrm>
                      <a:off x="0" y="0"/>
                      <a:ext cx="1492248" cy="1485876"/>
                    </a:xfrm>
                    <a:prstGeom prst="rect">
                      <a:avLst/>
                    </a:prstGeom>
                  </pic:spPr>
                </pic:pic>
              </a:graphicData>
            </a:graphic>
          </wp:anchor>
        </w:drawing>
      </w:r>
      <w:r>
        <w:rPr>
          <w:rFonts w:ascii="黑体" w:hAnsi="黑体" w:eastAsia="黑体" w:cs="黑体"/>
          <w:b/>
          <w:bCs/>
          <w:spacing w:val="-6"/>
          <w:sz w:val="42"/>
          <w:szCs w:val="42"/>
        </w:rPr>
        <w:t>南京中科煜宸激光技术有限公司参与高等</w:t>
      </w:r>
    </w:p>
    <w:p>
      <w:pPr>
        <w:spacing w:before="73" w:line="221" w:lineRule="auto"/>
        <w:ind w:left="996"/>
        <w:rPr>
          <w:rFonts w:ascii="黑体" w:hAnsi="黑体" w:eastAsia="黑体" w:cs="黑体"/>
          <w:sz w:val="42"/>
          <w:szCs w:val="42"/>
        </w:rPr>
      </w:pPr>
      <w:r>
        <w:drawing>
          <wp:anchor distT="0" distB="0" distL="0" distR="0" simplePos="0" relativeHeight="251660288" behindDoc="0" locked="0" layoutInCell="1" allowOverlap="1">
            <wp:simplePos x="0" y="0"/>
            <wp:positionH relativeFrom="column">
              <wp:posOffset>2731135</wp:posOffset>
            </wp:positionH>
            <wp:positionV relativeFrom="paragraph">
              <wp:posOffset>84455</wp:posOffset>
            </wp:positionV>
            <wp:extent cx="1492250" cy="1492250"/>
            <wp:effectExtent l="0" t="0" r="6350" b="6350"/>
            <wp:wrapNone/>
            <wp:docPr id="9" name="IM 9"/>
            <wp:cNvGraphicFramePr/>
            <a:graphic xmlns:a="http://schemas.openxmlformats.org/drawingml/2006/main">
              <a:graphicData uri="http://schemas.openxmlformats.org/drawingml/2006/picture">
                <pic:pic xmlns:pic="http://schemas.openxmlformats.org/drawingml/2006/picture">
                  <pic:nvPicPr>
                    <pic:cNvPr id="9" name="IM 9"/>
                    <pic:cNvPicPr/>
                  </pic:nvPicPr>
                  <pic:blipFill>
                    <a:blip r:embed="rId5"/>
                    <a:stretch>
                      <a:fillRect/>
                    </a:stretch>
                  </pic:blipFill>
                  <pic:spPr>
                    <a:xfrm>
                      <a:off x="0" y="0"/>
                      <a:ext cx="1492248" cy="1492279"/>
                    </a:xfrm>
                    <a:prstGeom prst="rect">
                      <a:avLst/>
                    </a:prstGeom>
                  </pic:spPr>
                </pic:pic>
              </a:graphicData>
            </a:graphic>
          </wp:anchor>
        </w:drawing>
      </w:r>
      <w:r>
        <w:rPr>
          <w:rFonts w:ascii="黑体" w:hAnsi="黑体" w:eastAsia="黑体" w:cs="黑体"/>
          <w:b/>
          <w:bCs/>
          <w:spacing w:val="8"/>
          <w:sz w:val="42"/>
          <w:szCs w:val="42"/>
        </w:rPr>
        <w:t>职业教育人才培养年度报告(2023)</w:t>
      </w:r>
    </w:p>
    <w:p>
      <w:pPr>
        <w:spacing w:before="77" w:line="221" w:lineRule="auto"/>
        <w:ind w:left="2076"/>
        <w:rPr>
          <w:rFonts w:ascii="黑体" w:hAnsi="黑体" w:eastAsia="黑体" w:cs="黑体"/>
          <w:sz w:val="42"/>
          <w:szCs w:val="42"/>
        </w:rPr>
      </w:pPr>
      <w:r>
        <w:rPr>
          <w:rFonts w:ascii="黑体" w:hAnsi="黑体" w:eastAsia="黑体" w:cs="黑体"/>
          <w:b/>
          <w:bCs/>
          <w:spacing w:val="-7"/>
          <w:sz w:val="42"/>
          <w:szCs w:val="42"/>
        </w:rPr>
        <w:t>(南京工业职业技术大学)</w:t>
      </w:r>
    </w:p>
    <w:p>
      <w:pPr>
        <w:widowControl/>
        <w:spacing w:after="160" w:line="360" w:lineRule="auto"/>
        <w:jc w:val="center"/>
        <w:rPr>
          <w:rFonts w:hint="eastAsia" w:ascii="宋体" w:hAnsi="宋体" w:eastAsia="宋体" w:cs="宋体"/>
          <w:b/>
          <w:bCs/>
          <w:color w:val="222222"/>
          <w:kern w:val="0"/>
          <w:sz w:val="32"/>
          <w:szCs w:val="32"/>
        </w:rPr>
      </w:pPr>
    </w:p>
    <w:p>
      <w:pPr>
        <w:widowControl/>
        <w:spacing w:after="160" w:line="360" w:lineRule="auto"/>
        <w:jc w:val="center"/>
        <w:rPr>
          <w:rFonts w:hint="eastAsia" w:ascii="宋体" w:hAnsi="宋体" w:eastAsia="宋体" w:cs="宋体"/>
          <w:b/>
          <w:bCs/>
          <w:color w:val="222222"/>
          <w:kern w:val="0"/>
          <w:sz w:val="32"/>
          <w:szCs w:val="32"/>
        </w:rPr>
      </w:pPr>
    </w:p>
    <w:p>
      <w:pPr>
        <w:widowControl/>
        <w:spacing w:after="160" w:line="360" w:lineRule="auto"/>
        <w:jc w:val="center"/>
        <w:rPr>
          <w:rFonts w:hint="eastAsia" w:ascii="宋体" w:hAnsi="宋体" w:eastAsia="宋体" w:cs="宋体"/>
          <w:b/>
          <w:bCs/>
          <w:color w:val="222222"/>
          <w:kern w:val="0"/>
          <w:sz w:val="32"/>
          <w:szCs w:val="32"/>
        </w:rPr>
      </w:pPr>
    </w:p>
    <w:p>
      <w:pPr>
        <w:widowControl/>
        <w:spacing w:after="160" w:line="360" w:lineRule="auto"/>
        <w:jc w:val="center"/>
        <w:rPr>
          <w:rFonts w:hint="eastAsia" w:ascii="宋体" w:hAnsi="宋体" w:eastAsia="宋体" w:cs="宋体"/>
          <w:b/>
          <w:bCs/>
          <w:color w:val="222222"/>
          <w:kern w:val="0"/>
          <w:sz w:val="32"/>
          <w:szCs w:val="32"/>
        </w:rPr>
        <w:sectPr>
          <w:pgSz w:w="11906" w:h="16838"/>
          <w:pgMar w:top="1440" w:right="1800" w:bottom="1440" w:left="1800" w:header="851" w:footer="992" w:gutter="0"/>
          <w:cols w:space="425" w:num="1"/>
          <w:docGrid w:type="lines" w:linePitch="312" w:charSpace="0"/>
        </w:sectPr>
      </w:pPr>
    </w:p>
    <w:p>
      <w:pPr>
        <w:widowControl/>
        <w:spacing w:after="160" w:line="360" w:lineRule="auto"/>
        <w:jc w:val="center"/>
        <w:rPr>
          <w:rFonts w:hint="eastAsia" w:ascii="宋体" w:hAnsi="宋体" w:eastAsia="宋体" w:cs="宋体"/>
          <w:b/>
          <w:bCs/>
          <w:color w:val="222222"/>
          <w:kern w:val="0"/>
          <w:sz w:val="32"/>
          <w:szCs w:val="32"/>
        </w:rPr>
      </w:pPr>
      <w:r>
        <w:rPr>
          <w:rFonts w:hint="eastAsia" w:ascii="宋体" w:hAnsi="宋体" w:eastAsia="宋体" w:cs="宋体"/>
          <w:b/>
          <w:bCs/>
          <w:color w:val="222222"/>
          <w:kern w:val="0"/>
          <w:sz w:val="32"/>
          <w:szCs w:val="32"/>
        </w:rPr>
        <w:t xml:space="preserve">南京中科煜宸激光技术有限公司参与高等职业教育人才 </w:t>
      </w:r>
      <w:r>
        <w:rPr>
          <w:rFonts w:ascii="宋体" w:hAnsi="宋体" w:eastAsia="宋体" w:cs="宋体"/>
          <w:b/>
          <w:bCs/>
          <w:color w:val="222222"/>
          <w:kern w:val="0"/>
          <w:sz w:val="32"/>
          <w:szCs w:val="32"/>
        </w:rPr>
        <w:t xml:space="preserve"> </w:t>
      </w:r>
      <w:r>
        <w:rPr>
          <w:rFonts w:hint="eastAsia" w:ascii="宋体" w:hAnsi="宋体" w:eastAsia="宋体" w:cs="宋体"/>
          <w:b/>
          <w:bCs/>
          <w:color w:val="222222"/>
          <w:kern w:val="0"/>
          <w:sz w:val="32"/>
          <w:szCs w:val="32"/>
        </w:rPr>
        <w:t>培养年度报告（2023）</w:t>
      </w:r>
    </w:p>
    <w:p>
      <w:pPr>
        <w:spacing w:line="360" w:lineRule="auto"/>
        <w:rPr>
          <w:rFonts w:ascii="宋体" w:hAnsi="宋体" w:eastAsia="宋体" w:cs="宋体"/>
          <w:b/>
          <w:bCs/>
          <w:color w:val="222222"/>
          <w:kern w:val="0"/>
          <w:sz w:val="24"/>
        </w:rPr>
      </w:pPr>
      <w:r>
        <w:rPr>
          <w:rFonts w:hint="eastAsia" w:ascii="宋体" w:hAnsi="宋体" w:eastAsia="宋体" w:cs="宋体"/>
          <w:b/>
          <w:bCs/>
          <w:color w:val="222222"/>
          <w:kern w:val="0"/>
          <w:sz w:val="24"/>
        </w:rPr>
        <w:t>一、</w:t>
      </w:r>
      <w:r>
        <w:rPr>
          <w:rFonts w:ascii="宋体" w:hAnsi="宋体" w:eastAsia="宋体" w:cs="宋体"/>
          <w:b/>
          <w:bCs/>
          <w:color w:val="222222"/>
          <w:kern w:val="0"/>
          <w:sz w:val="24"/>
        </w:rPr>
        <w:t>概况</w:t>
      </w:r>
    </w:p>
    <w:p>
      <w:pPr>
        <w:spacing w:line="360" w:lineRule="auto"/>
        <w:ind w:firstLine="480" w:firstLineChars="200"/>
        <w:rPr>
          <w:rFonts w:ascii="宋体" w:hAnsi="宋体" w:eastAsia="宋体" w:cs="宋体"/>
          <w:color w:val="222222"/>
          <w:kern w:val="0"/>
          <w:sz w:val="24"/>
        </w:rPr>
      </w:pPr>
      <w:r>
        <w:rPr>
          <w:rFonts w:ascii="宋体" w:hAnsi="宋体" w:eastAsia="宋体" w:cs="宋体"/>
          <w:color w:val="222222"/>
          <w:kern w:val="0"/>
          <w:sz w:val="24"/>
        </w:rPr>
        <w:t>南京中科煜宸激光技术有限公司成立于2013年，是一家专业从事激光增材制造装备（金属3D打印、表面处理技术）、智能激光焊接装备、自动化生产线、核心器件的研发与制造的高新技术企业。</w:t>
      </w:r>
    </w:p>
    <w:p>
      <w:pPr>
        <w:spacing w:line="360" w:lineRule="auto"/>
        <w:ind w:firstLine="480" w:firstLineChars="200"/>
        <w:rPr>
          <w:rFonts w:ascii="宋体" w:hAnsi="宋体" w:eastAsia="宋体" w:cs="宋体"/>
          <w:color w:val="222222"/>
          <w:kern w:val="0"/>
          <w:sz w:val="24"/>
        </w:rPr>
      </w:pPr>
      <w:r>
        <w:rPr>
          <w:rFonts w:ascii="宋体" w:hAnsi="宋体" w:eastAsia="宋体" w:cs="宋体"/>
          <w:color w:val="222222"/>
          <w:kern w:val="0"/>
          <w:sz w:val="24"/>
        </w:rPr>
        <w:t>中科煜宸专业从事激光增材制造装备(3D打印、激表面技术)、智能激光焊接装备、自动化生产线、核心器件（工艺软件、送粉器、加工头）和金属粉末材料的研发与制造。目前，中科煜宸是高新技术企业、中国增材制造产业联盟副理事长单位、增材制造标委会标准起草参与单位、是发改委激光再制造产业化项目、工信部激光增材制造产业化项目、科技部同步送粉增材制造重大专项承担单位，也是江苏省科技厅的金属三维打印工程技术中心、江苏省企业技术中心，南京市金属三维打印技术中心，江苏省经信委激光智能制造协同创新中心。公司的大功率激光增材制造设备是南京市重点新产品，荣格技术创新奖获得产品。</w:t>
      </w:r>
    </w:p>
    <w:p>
      <w:pPr>
        <w:spacing w:line="360" w:lineRule="auto"/>
        <w:ind w:firstLine="480" w:firstLineChars="200"/>
        <w:rPr>
          <w:rFonts w:ascii="宋体" w:hAnsi="宋体" w:eastAsia="宋体" w:cs="宋体"/>
          <w:color w:val="222222"/>
          <w:kern w:val="0"/>
          <w:sz w:val="24"/>
        </w:rPr>
      </w:pPr>
      <w:r>
        <w:rPr>
          <w:rFonts w:ascii="宋体" w:hAnsi="宋体" w:eastAsia="宋体" w:cs="宋体"/>
          <w:color w:val="222222"/>
          <w:kern w:val="0"/>
          <w:sz w:val="24"/>
        </w:rPr>
        <w:t>公司在大型及中小型金属激光增材制造装备方面已取得了突破性进展，大型送粉式金属3D打印装备采用具有自主知识产权的核心部件(如加工头、送粉器、工艺软件等)，其成果已广泛应用于汽车、船舶、模具等行业，为以上领域的终端用户提供了上百套智能金属激光增材制造装备，中科煜宸已成为国内系列化金属激光增材制造装备的供应商。中科煜宸通过不断技术创新和产业整合，紧密围绕增材制造产业链和创新链，誓做国内增材制造领域的优质品牌。</w:t>
      </w:r>
    </w:p>
    <w:p>
      <w:pPr>
        <w:spacing w:line="360" w:lineRule="auto"/>
        <w:jc w:val="center"/>
      </w:pPr>
      <w:r>
        <w:drawing>
          <wp:inline distT="0" distB="0" distL="114300" distR="114300">
            <wp:extent cx="4276090" cy="29908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4283865" cy="2995847"/>
                    </a:xfrm>
                    <a:prstGeom prst="rect">
                      <a:avLst/>
                    </a:prstGeom>
                    <a:noFill/>
                    <a:ln>
                      <a:noFill/>
                    </a:ln>
                  </pic:spPr>
                </pic:pic>
              </a:graphicData>
            </a:graphic>
          </wp:inline>
        </w:drawing>
      </w:r>
    </w:p>
    <w:p>
      <w:pPr>
        <w:jc w:val="center"/>
        <w:rPr>
          <w:rFonts w:ascii="Times New Roman" w:hAnsi="Times New Roman" w:cs="Times New Roman"/>
          <w:sz w:val="24"/>
        </w:rPr>
      </w:pPr>
      <w:r>
        <w:rPr>
          <w:rFonts w:hint="eastAsia" w:ascii="Helvetica" w:hAnsi="Helvetica" w:eastAsia="宋体" w:cs="Helvetica"/>
          <w:color w:val="2F2F2F"/>
          <w:szCs w:val="21"/>
        </w:rPr>
        <w:t xml:space="preserve">图1 </w:t>
      </w:r>
      <w:r>
        <w:rPr>
          <w:rFonts w:ascii="Times New Roman" w:hAnsi="Times New Roman" w:cs="Times New Roman"/>
          <w:sz w:val="24"/>
        </w:rPr>
        <w:t>南京中科煜宸激光技术有限公司</w:t>
      </w:r>
      <w:r>
        <w:rPr>
          <w:rFonts w:hint="eastAsia" w:ascii="Times New Roman" w:hAnsi="Times New Roman" w:cs="Times New Roman"/>
          <w:sz w:val="24"/>
        </w:rPr>
        <w:t>厂区</w:t>
      </w:r>
    </w:p>
    <w:p>
      <w:pPr>
        <w:widowControl/>
        <w:numPr>
          <w:ilvl w:val="0"/>
          <w:numId w:val="1"/>
        </w:numPr>
        <w:spacing w:after="160" w:line="360" w:lineRule="auto"/>
        <w:rPr>
          <w:rFonts w:ascii="宋体" w:hAnsi="宋体" w:eastAsia="宋体" w:cs="宋体"/>
          <w:b/>
          <w:bCs/>
          <w:color w:val="222222"/>
          <w:kern w:val="0"/>
          <w:sz w:val="24"/>
        </w:rPr>
      </w:pPr>
      <w:r>
        <w:rPr>
          <w:rFonts w:hint="eastAsia" w:ascii="宋体" w:hAnsi="宋体" w:eastAsia="宋体" w:cs="宋体"/>
          <w:b/>
          <w:bCs/>
          <w:color w:val="222222"/>
          <w:kern w:val="0"/>
          <w:sz w:val="24"/>
        </w:rPr>
        <w:t>共建科研平台</w:t>
      </w:r>
    </w:p>
    <w:p>
      <w:pPr>
        <w:spacing w:line="360" w:lineRule="auto"/>
        <w:ind w:firstLine="480" w:firstLineChars="200"/>
        <w:rPr>
          <w:rFonts w:ascii="Times New Roman" w:hAnsi="Times New Roman" w:cs="Times New Roman"/>
          <w:sz w:val="24"/>
        </w:rPr>
      </w:pPr>
      <w:r>
        <w:rPr>
          <w:rFonts w:ascii="Times New Roman" w:hAnsi="Times New Roman" w:cs="Times New Roman"/>
          <w:sz w:val="24"/>
        </w:rPr>
        <w:t>中科煜宸</w:t>
      </w:r>
      <w:r>
        <w:rPr>
          <w:rFonts w:hint="eastAsia" w:ascii="Times New Roman" w:hAnsi="Times New Roman" w:cs="Times New Roman"/>
          <w:sz w:val="24"/>
        </w:rPr>
        <w:t>扎根激光增材制造领域坚持研究、务实创新，公司一直重视科研平台建设。而南京工业职业技术大学作为职业教育本科试点高校，地理位置优越吸引了大量的优秀青年博士。为了拓展校企合作空间，6月15日，在校科技发展合作处处长孟庆杰一行与公司洽谈</w:t>
      </w:r>
      <w:r>
        <w:rPr>
          <w:rFonts w:ascii="Times New Roman" w:hAnsi="Times New Roman" w:cs="Times New Roman"/>
          <w:sz w:val="24"/>
        </w:rPr>
        <w:t>科研项目合作，教师进企业一线培训学习及工作。</w:t>
      </w:r>
      <w:r>
        <w:rPr>
          <w:rFonts w:hint="eastAsia" w:ascii="Times New Roman" w:hAnsi="Times New Roman" w:cs="Times New Roman"/>
          <w:sz w:val="24"/>
        </w:rPr>
        <w:t>搭建学校青年博士教师与</w:t>
      </w:r>
      <w:r>
        <w:rPr>
          <w:rFonts w:ascii="Times New Roman" w:hAnsi="Times New Roman" w:cs="Times New Roman"/>
          <w:sz w:val="24"/>
        </w:rPr>
        <w:t>企业技术交流</w:t>
      </w:r>
      <w:r>
        <w:rPr>
          <w:rFonts w:hint="eastAsia" w:ascii="Times New Roman" w:hAnsi="Times New Roman" w:cs="Times New Roman"/>
          <w:sz w:val="24"/>
        </w:rPr>
        <w:t>合作平台，制定了合作方案</w:t>
      </w:r>
      <w:r>
        <w:rPr>
          <w:rFonts w:ascii="Times New Roman" w:hAnsi="Times New Roman" w:cs="Times New Roman"/>
          <w:sz w:val="24"/>
        </w:rPr>
        <w:t>。创造</w:t>
      </w:r>
      <w:r>
        <w:rPr>
          <w:rFonts w:hint="eastAsia" w:ascii="Times New Roman" w:hAnsi="Times New Roman" w:cs="Times New Roman"/>
          <w:sz w:val="24"/>
        </w:rPr>
        <w:t>教师</w:t>
      </w:r>
      <w:r>
        <w:rPr>
          <w:rFonts w:ascii="Times New Roman" w:hAnsi="Times New Roman" w:cs="Times New Roman"/>
          <w:sz w:val="24"/>
        </w:rPr>
        <w:t>与企业技术交流、科研项目合作条件，加强技术攻关、科研项目合作工作，做好科技研发、技术合作方面服务工业经济发展课题。</w:t>
      </w:r>
    </w:p>
    <w:p>
      <w:pPr>
        <w:widowControl/>
        <w:spacing w:after="160" w:line="360" w:lineRule="auto"/>
        <w:jc w:val="center"/>
        <w:rPr>
          <w:rFonts w:ascii="宋体" w:hAnsi="宋体" w:eastAsia="宋体" w:cs="宋体"/>
          <w:b/>
          <w:bCs/>
          <w:color w:val="222222"/>
          <w:kern w:val="0"/>
          <w:sz w:val="24"/>
        </w:rPr>
      </w:pPr>
      <w:r>
        <w:rPr>
          <w:rFonts w:ascii="宋体" w:hAnsi="宋体" w:eastAsia="宋体" w:cs="宋体"/>
          <w:b/>
          <w:bCs/>
          <w:color w:val="222222"/>
          <w:kern w:val="0"/>
          <w:sz w:val="24"/>
        </w:rPr>
        <w:drawing>
          <wp:inline distT="0" distB="0" distL="114300" distR="114300">
            <wp:extent cx="5036185" cy="3778885"/>
            <wp:effectExtent l="0" t="0" r="12065" b="12065"/>
            <wp:docPr id="5" name="图片 5" descr="489d8108ea992fd3ecf32e9a5b65d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489d8108ea992fd3ecf32e9a5b65d93"/>
                    <pic:cNvPicPr>
                      <a:picLocks noChangeAspect="1"/>
                    </pic:cNvPicPr>
                  </pic:nvPicPr>
                  <pic:blipFill>
                    <a:blip r:embed="rId7"/>
                    <a:stretch>
                      <a:fillRect/>
                    </a:stretch>
                  </pic:blipFill>
                  <pic:spPr>
                    <a:xfrm>
                      <a:off x="0" y="0"/>
                      <a:ext cx="5036185" cy="3778885"/>
                    </a:xfrm>
                    <a:prstGeom prst="rect">
                      <a:avLst/>
                    </a:prstGeom>
                  </pic:spPr>
                </pic:pic>
              </a:graphicData>
            </a:graphic>
          </wp:inline>
        </w:drawing>
      </w:r>
    </w:p>
    <w:p>
      <w:pPr>
        <w:jc w:val="center"/>
        <w:rPr>
          <w:rFonts w:ascii="Helvetica" w:hAnsi="Helvetica" w:eastAsia="宋体" w:cs="Helvetica"/>
          <w:color w:val="2F2F2F"/>
          <w:szCs w:val="21"/>
        </w:rPr>
      </w:pPr>
      <w:r>
        <w:rPr>
          <w:rFonts w:hint="eastAsia" w:ascii="Helvetica" w:hAnsi="Helvetica" w:eastAsia="宋体" w:cs="Helvetica"/>
          <w:color w:val="2F2F2F"/>
          <w:szCs w:val="21"/>
        </w:rPr>
        <w:t>图2 制定科研合作方案</w:t>
      </w:r>
    </w:p>
    <w:p>
      <w:pPr>
        <w:jc w:val="center"/>
        <w:rPr>
          <w:rFonts w:ascii="Helvetica" w:hAnsi="Helvetica" w:eastAsia="宋体" w:cs="Helvetica"/>
          <w:color w:val="2F2F2F"/>
          <w:szCs w:val="21"/>
        </w:rPr>
      </w:pPr>
    </w:p>
    <w:p>
      <w:pPr>
        <w:widowControl/>
        <w:numPr>
          <w:ilvl w:val="0"/>
          <w:numId w:val="1"/>
        </w:numPr>
        <w:spacing w:after="160" w:line="360" w:lineRule="auto"/>
        <w:rPr>
          <w:rFonts w:ascii="宋体" w:hAnsi="宋体" w:eastAsia="宋体" w:cs="宋体"/>
          <w:b/>
          <w:bCs/>
          <w:color w:val="222222"/>
          <w:kern w:val="0"/>
          <w:sz w:val="24"/>
        </w:rPr>
      </w:pPr>
      <w:r>
        <w:rPr>
          <w:rFonts w:hint="eastAsia" w:ascii="宋体" w:hAnsi="宋体" w:eastAsia="宋体" w:cs="宋体"/>
          <w:b/>
          <w:bCs/>
          <w:color w:val="222222"/>
          <w:kern w:val="0"/>
          <w:sz w:val="24"/>
        </w:rPr>
        <w:t>共同制定专业教学培养方案</w:t>
      </w:r>
    </w:p>
    <w:p>
      <w:pPr>
        <w:spacing w:line="360" w:lineRule="auto"/>
        <w:ind w:firstLine="480" w:firstLineChars="200"/>
        <w:rPr>
          <w:rFonts w:ascii="Times New Roman" w:hAnsi="Times New Roman" w:cs="Times New Roman"/>
          <w:sz w:val="24"/>
        </w:rPr>
      </w:pPr>
      <w:r>
        <w:rPr>
          <w:rFonts w:ascii="Times New Roman" w:hAnsi="Times New Roman" w:cs="Times New Roman"/>
          <w:sz w:val="24"/>
        </w:rPr>
        <w:t>国家教育事业发展“十四五”规划中指出增强职业技术教育的适应性，突出职业技术教育类型特色，深入推进改革创新，大力培养技术技能人才。面向职业教育、高等教育、科学研究等需求，中科煜宸潜心开发了一款RC-LDM4030E型易学、易教、易用的增材制造教学设备。具有轻量化的机身、完备的打印功能、优异的安全性设计以及面向职业教育的双高工程训练体系。</w:t>
      </w:r>
    </w:p>
    <w:p>
      <w:pPr>
        <w:spacing w:line="360" w:lineRule="auto"/>
        <w:ind w:firstLine="480" w:firstLineChars="200"/>
        <w:rPr>
          <w:rFonts w:ascii="Times New Roman" w:hAnsi="Times New Roman" w:cs="Times New Roman"/>
          <w:sz w:val="24"/>
        </w:rPr>
      </w:pPr>
      <w:r>
        <w:rPr>
          <w:rFonts w:ascii="Times New Roman" w:hAnsi="Times New Roman" w:cs="Times New Roman"/>
          <w:sz w:val="24"/>
        </w:rPr>
        <w:t>在中、高等职业教育和本科教育中均已设立了增材制造专业</w:t>
      </w:r>
      <w:r>
        <w:rPr>
          <w:rFonts w:hint="eastAsia" w:ascii="Times New Roman" w:hAnsi="Times New Roman" w:cs="Times New Roman"/>
          <w:sz w:val="24"/>
        </w:rPr>
        <w:t>，专业标准的制定是职业教育成功培养</w:t>
      </w:r>
      <w:r>
        <w:rPr>
          <w:rFonts w:ascii="Times New Roman" w:hAnsi="Times New Roman" w:cs="Times New Roman"/>
          <w:sz w:val="24"/>
        </w:rPr>
        <w:t>技术人才</w:t>
      </w:r>
      <w:r>
        <w:rPr>
          <w:rFonts w:hint="eastAsia" w:ascii="Times New Roman" w:hAnsi="Times New Roman" w:cs="Times New Roman"/>
          <w:sz w:val="24"/>
        </w:rPr>
        <w:t>的基础。</w:t>
      </w:r>
      <w:r>
        <w:rPr>
          <w:rFonts w:ascii="Times New Roman" w:hAnsi="Times New Roman" w:cs="Times New Roman"/>
          <w:sz w:val="24"/>
        </w:rPr>
        <w:t>中科煜宸</w:t>
      </w:r>
      <w:r>
        <w:rPr>
          <w:rFonts w:hint="eastAsia" w:ascii="Times New Roman" w:hAnsi="Times New Roman" w:cs="Times New Roman"/>
          <w:sz w:val="24"/>
        </w:rPr>
        <w:t>在自身不断取得突破性发展的同时不忘企业肩负起反哺教育的责任，多次与我校探讨人才培养方案的制定，专业设置论证工作。</w:t>
      </w:r>
      <w:r>
        <w:rPr>
          <w:rFonts w:ascii="Times New Roman" w:hAnsi="Times New Roman" w:cs="Times New Roman"/>
          <w:sz w:val="24"/>
        </w:rPr>
        <w:t>共同制定人才培养目标、课程实际、教学组织</w:t>
      </w:r>
      <w:r>
        <w:rPr>
          <w:rFonts w:hint="eastAsia" w:ascii="Times New Roman" w:hAnsi="Times New Roman" w:cs="Times New Roman"/>
          <w:sz w:val="24"/>
        </w:rPr>
        <w:t>，</w:t>
      </w:r>
      <w:r>
        <w:rPr>
          <w:rFonts w:ascii="Times New Roman" w:hAnsi="Times New Roman" w:cs="Times New Roman"/>
          <w:sz w:val="24"/>
        </w:rPr>
        <w:t>使高职人才的职业素质与企业需求相吻合</w:t>
      </w:r>
      <w:r>
        <w:rPr>
          <w:rFonts w:hint="eastAsia" w:ascii="Times New Roman" w:hAnsi="Times New Roman" w:cs="Times New Roman"/>
          <w:sz w:val="24"/>
        </w:rPr>
        <w:t>，</w:t>
      </w:r>
      <w:r>
        <w:rPr>
          <w:rFonts w:ascii="Times New Roman" w:hAnsi="Times New Roman" w:cs="Times New Roman"/>
          <w:sz w:val="24"/>
        </w:rPr>
        <w:t>从整体上保障了人才规格的需求。</w:t>
      </w:r>
    </w:p>
    <w:p>
      <w:pPr>
        <w:spacing w:line="360" w:lineRule="auto"/>
        <w:ind w:firstLine="480" w:firstLineChars="200"/>
        <w:rPr>
          <w:rFonts w:ascii="Times New Roman" w:hAnsi="Times New Roman" w:cs="Times New Roman"/>
          <w:sz w:val="24"/>
        </w:rPr>
      </w:pPr>
    </w:p>
    <w:p>
      <w:pPr>
        <w:spacing w:line="360" w:lineRule="auto"/>
        <w:jc w:val="center"/>
        <w:rPr>
          <w:rFonts w:ascii="宋体" w:hAnsi="宋体" w:eastAsia="宋体" w:cs="宋体"/>
          <w:sz w:val="24"/>
        </w:rPr>
      </w:pPr>
      <w:r>
        <w:rPr>
          <w:rFonts w:ascii="宋体" w:hAnsi="宋体" w:eastAsia="宋体" w:cs="宋体"/>
          <w:sz w:val="24"/>
        </w:rPr>
        <w:drawing>
          <wp:inline distT="0" distB="0" distL="114300" distR="114300">
            <wp:extent cx="5124450" cy="3842385"/>
            <wp:effectExtent l="0" t="0" r="0" b="5715"/>
            <wp:docPr id="6"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IMG_256"/>
                    <pic:cNvPicPr>
                      <a:picLocks noChangeAspect="1"/>
                    </pic:cNvPicPr>
                  </pic:nvPicPr>
                  <pic:blipFill>
                    <a:blip r:embed="rId8"/>
                    <a:stretch>
                      <a:fillRect/>
                    </a:stretch>
                  </pic:blipFill>
                  <pic:spPr>
                    <a:xfrm>
                      <a:off x="0" y="0"/>
                      <a:ext cx="5124450" cy="3842385"/>
                    </a:xfrm>
                    <a:prstGeom prst="rect">
                      <a:avLst/>
                    </a:prstGeom>
                    <a:noFill/>
                    <a:ln w="9525">
                      <a:noFill/>
                    </a:ln>
                  </pic:spPr>
                </pic:pic>
              </a:graphicData>
            </a:graphic>
          </wp:inline>
        </w:drawing>
      </w:r>
    </w:p>
    <w:p>
      <w:pPr>
        <w:spacing w:line="360" w:lineRule="auto"/>
        <w:jc w:val="center"/>
        <w:rPr>
          <w:rFonts w:ascii="宋体" w:hAnsi="宋体" w:eastAsia="宋体" w:cs="宋体"/>
          <w:sz w:val="24"/>
        </w:rPr>
      </w:pPr>
      <w:r>
        <w:rPr>
          <w:rFonts w:hint="eastAsia" w:ascii="宋体" w:hAnsi="宋体" w:eastAsia="宋体" w:cs="宋体"/>
          <w:sz w:val="24"/>
        </w:rPr>
        <w:t xml:space="preserve">图3 </w:t>
      </w:r>
      <w:r>
        <w:rPr>
          <w:rFonts w:ascii="Times New Roman" w:hAnsi="Times New Roman" w:cs="Times New Roman"/>
          <w:sz w:val="24"/>
        </w:rPr>
        <w:t>RC-LDM4030E型增材制造教学设备</w:t>
      </w:r>
    </w:p>
    <w:p>
      <w:pPr>
        <w:spacing w:line="360" w:lineRule="auto"/>
        <w:jc w:val="center"/>
        <w:rPr>
          <w:rFonts w:ascii="宋体" w:hAnsi="宋体" w:eastAsia="宋体" w:cs="宋体"/>
          <w:sz w:val="24"/>
        </w:rPr>
      </w:pPr>
      <w:r>
        <w:rPr>
          <w:rFonts w:ascii="宋体" w:hAnsi="宋体" w:eastAsia="宋体" w:cs="宋体"/>
          <w:b/>
          <w:bCs/>
          <w:color w:val="222222"/>
          <w:kern w:val="0"/>
          <w:sz w:val="24"/>
        </w:rPr>
        <w:drawing>
          <wp:inline distT="0" distB="0" distL="114300" distR="114300">
            <wp:extent cx="5138420" cy="3855720"/>
            <wp:effectExtent l="0" t="0" r="5080" b="5080"/>
            <wp:docPr id="2" name="图片 2" descr="01a69a3048cf9e3e2f80f80ae8e9e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01a69a3048cf9e3e2f80f80ae8e9e28"/>
                    <pic:cNvPicPr>
                      <a:picLocks noChangeAspect="1"/>
                    </pic:cNvPicPr>
                  </pic:nvPicPr>
                  <pic:blipFill>
                    <a:blip r:embed="rId9"/>
                    <a:stretch>
                      <a:fillRect/>
                    </a:stretch>
                  </pic:blipFill>
                  <pic:spPr>
                    <a:xfrm>
                      <a:off x="0" y="0"/>
                      <a:ext cx="5138420" cy="3855720"/>
                    </a:xfrm>
                    <a:prstGeom prst="rect">
                      <a:avLst/>
                    </a:prstGeom>
                  </pic:spPr>
                </pic:pic>
              </a:graphicData>
            </a:graphic>
          </wp:inline>
        </w:drawing>
      </w:r>
    </w:p>
    <w:p>
      <w:pPr>
        <w:spacing w:line="360" w:lineRule="auto"/>
        <w:ind w:firstLine="480" w:firstLineChars="200"/>
        <w:jc w:val="center"/>
        <w:rPr>
          <w:rFonts w:ascii="Times New Roman" w:hAnsi="Times New Roman" w:cs="Times New Roman"/>
          <w:sz w:val="24"/>
        </w:rPr>
      </w:pPr>
      <w:r>
        <w:rPr>
          <w:rFonts w:hint="eastAsia" w:ascii="Times New Roman" w:hAnsi="Times New Roman" w:cs="Times New Roman"/>
          <w:sz w:val="24"/>
        </w:rPr>
        <w:t>图4 专业设置论证会议</w:t>
      </w:r>
    </w:p>
    <w:p>
      <w:pPr>
        <w:widowControl/>
        <w:spacing w:after="160" w:line="360" w:lineRule="auto"/>
        <w:rPr>
          <w:rFonts w:hint="eastAsia" w:ascii="宋体" w:hAnsi="宋体" w:eastAsia="宋体" w:cs="宋体"/>
          <w:b/>
          <w:bCs/>
          <w:color w:val="222222"/>
          <w:kern w:val="0"/>
          <w:sz w:val="24"/>
        </w:rPr>
      </w:pPr>
    </w:p>
    <w:p>
      <w:pPr>
        <w:widowControl/>
        <w:spacing w:after="160" w:line="360" w:lineRule="auto"/>
        <w:rPr>
          <w:rFonts w:ascii="宋体" w:hAnsi="宋体" w:eastAsia="宋体" w:cs="宋体"/>
          <w:b/>
          <w:bCs/>
          <w:color w:val="222222"/>
          <w:kern w:val="0"/>
          <w:sz w:val="24"/>
        </w:rPr>
      </w:pPr>
      <w:r>
        <w:rPr>
          <w:rFonts w:hint="eastAsia" w:ascii="宋体" w:hAnsi="宋体" w:eastAsia="宋体" w:cs="宋体"/>
          <w:b/>
          <w:bCs/>
          <w:color w:val="222222"/>
          <w:kern w:val="0"/>
          <w:sz w:val="24"/>
        </w:rPr>
        <w:t>四、共助学生实践</w:t>
      </w:r>
    </w:p>
    <w:p>
      <w:pPr>
        <w:spacing w:line="360" w:lineRule="auto"/>
        <w:ind w:firstLine="480" w:firstLineChars="200"/>
        <w:rPr>
          <w:rFonts w:ascii="宋体" w:hAnsi="宋体" w:eastAsia="宋体" w:cs="宋体"/>
          <w:b/>
          <w:bCs/>
          <w:color w:val="222222"/>
          <w:kern w:val="0"/>
          <w:sz w:val="24"/>
        </w:rPr>
      </w:pPr>
      <w:r>
        <w:rPr>
          <w:rFonts w:hint="eastAsia" w:ascii="Times New Roman" w:hAnsi="Times New Roman" w:cs="Times New Roman"/>
          <w:sz w:val="24"/>
        </w:rPr>
        <w:t>学校借助</w:t>
      </w:r>
      <w:r>
        <w:rPr>
          <w:rFonts w:ascii="Times New Roman" w:hAnsi="Times New Roman" w:cs="Times New Roman"/>
          <w:sz w:val="24"/>
        </w:rPr>
        <w:t>中科煜宸</w:t>
      </w:r>
      <w:r>
        <w:rPr>
          <w:rFonts w:hint="eastAsia" w:ascii="Times New Roman" w:hAnsi="Times New Roman" w:cs="Times New Roman"/>
          <w:sz w:val="24"/>
        </w:rPr>
        <w:t>的生产资源，开展学生技能培训。</w:t>
      </w:r>
      <w:r>
        <w:rPr>
          <w:rFonts w:ascii="Times New Roman" w:hAnsi="Times New Roman" w:cs="Times New Roman"/>
          <w:sz w:val="24"/>
        </w:rPr>
        <w:t>在企业培训部门的主持下</w:t>
      </w:r>
      <w:r>
        <w:rPr>
          <w:rFonts w:hint="eastAsia" w:ascii="Times New Roman" w:hAnsi="Times New Roman" w:cs="Times New Roman"/>
          <w:sz w:val="24"/>
        </w:rPr>
        <w:t>，</w:t>
      </w:r>
      <w:r>
        <w:rPr>
          <w:rFonts w:ascii="Times New Roman" w:hAnsi="Times New Roman" w:cs="Times New Roman"/>
          <w:sz w:val="24"/>
        </w:rPr>
        <w:t>由校企合作工作组结合企业发展过程中的具体问题</w:t>
      </w:r>
      <w:r>
        <w:rPr>
          <w:rFonts w:hint="eastAsia" w:ascii="Times New Roman" w:hAnsi="Times New Roman" w:cs="Times New Roman"/>
          <w:sz w:val="24"/>
        </w:rPr>
        <w:t>，</w:t>
      </w:r>
      <w:r>
        <w:rPr>
          <w:rFonts w:ascii="Times New Roman" w:hAnsi="Times New Roman" w:cs="Times New Roman"/>
          <w:sz w:val="24"/>
        </w:rPr>
        <w:t>调研技术、管理等方面欠缺和差距</w:t>
      </w:r>
      <w:r>
        <w:rPr>
          <w:rFonts w:hint="eastAsia" w:ascii="Times New Roman" w:hAnsi="Times New Roman" w:cs="Times New Roman"/>
          <w:sz w:val="24"/>
        </w:rPr>
        <w:t>，</w:t>
      </w:r>
      <w:r>
        <w:rPr>
          <w:rFonts w:ascii="Times New Roman" w:hAnsi="Times New Roman" w:cs="Times New Roman"/>
          <w:sz w:val="24"/>
        </w:rPr>
        <w:t>制定可行的培训方案。完善了高职学生顶岗实习</w:t>
      </w:r>
      <w:r>
        <w:rPr>
          <w:rFonts w:hint="eastAsia" w:ascii="Times New Roman" w:hAnsi="Times New Roman" w:cs="Times New Roman"/>
          <w:sz w:val="24"/>
        </w:rPr>
        <w:t>，</w:t>
      </w:r>
      <w:r>
        <w:rPr>
          <w:rFonts w:ascii="Times New Roman" w:hAnsi="Times New Roman" w:cs="Times New Roman"/>
          <w:sz w:val="24"/>
        </w:rPr>
        <w:t>在学生认识企业的同时</w:t>
      </w:r>
      <w:r>
        <w:rPr>
          <w:rFonts w:hint="eastAsia" w:ascii="Times New Roman" w:hAnsi="Times New Roman" w:cs="Times New Roman"/>
          <w:sz w:val="24"/>
        </w:rPr>
        <w:t>，</w:t>
      </w:r>
      <w:r>
        <w:rPr>
          <w:rFonts w:ascii="Times New Roman" w:hAnsi="Times New Roman" w:cs="Times New Roman"/>
          <w:sz w:val="24"/>
        </w:rPr>
        <w:t>也使企业了解学生</w:t>
      </w:r>
      <w:r>
        <w:rPr>
          <w:rFonts w:hint="eastAsia" w:ascii="Times New Roman" w:hAnsi="Times New Roman" w:cs="Times New Roman"/>
          <w:sz w:val="24"/>
        </w:rPr>
        <w:t>，</w:t>
      </w:r>
      <w:r>
        <w:rPr>
          <w:rFonts w:ascii="Times New Roman" w:hAnsi="Times New Roman" w:cs="Times New Roman"/>
          <w:sz w:val="24"/>
        </w:rPr>
        <w:t>即可优化选择高职学生</w:t>
      </w:r>
      <w:r>
        <w:rPr>
          <w:rFonts w:hint="eastAsia" w:ascii="Times New Roman" w:hAnsi="Times New Roman" w:cs="Times New Roman"/>
          <w:sz w:val="24"/>
        </w:rPr>
        <w:t>，</w:t>
      </w:r>
      <w:r>
        <w:rPr>
          <w:rFonts w:ascii="Times New Roman" w:hAnsi="Times New Roman" w:cs="Times New Roman"/>
          <w:sz w:val="24"/>
        </w:rPr>
        <w:t>又可发现学生目前存在的差距</w:t>
      </w:r>
      <w:r>
        <w:rPr>
          <w:rFonts w:hint="eastAsia" w:ascii="Times New Roman" w:hAnsi="Times New Roman" w:cs="Times New Roman"/>
          <w:sz w:val="24"/>
        </w:rPr>
        <w:t>，</w:t>
      </w:r>
      <w:r>
        <w:rPr>
          <w:rFonts w:ascii="Times New Roman" w:hAnsi="Times New Roman" w:cs="Times New Roman"/>
          <w:sz w:val="24"/>
        </w:rPr>
        <w:t>强化了后续培养工作的针对性</w:t>
      </w:r>
      <w:r>
        <w:rPr>
          <w:rFonts w:hint="eastAsia" w:ascii="Times New Roman" w:hAnsi="Times New Roman" w:cs="Times New Roman"/>
          <w:sz w:val="24"/>
        </w:rPr>
        <w:t>，</w:t>
      </w:r>
      <w:r>
        <w:rPr>
          <w:rFonts w:ascii="Times New Roman" w:hAnsi="Times New Roman" w:cs="Times New Roman"/>
          <w:sz w:val="24"/>
        </w:rPr>
        <w:t>提高学生职业能力的适应性</w:t>
      </w:r>
      <w:r>
        <w:rPr>
          <w:rFonts w:hint="eastAsia" w:ascii="Times New Roman" w:hAnsi="Times New Roman" w:cs="Times New Roman"/>
          <w:sz w:val="24"/>
        </w:rPr>
        <w:t>，</w:t>
      </w:r>
      <w:r>
        <w:rPr>
          <w:rFonts w:ascii="Times New Roman" w:hAnsi="Times New Roman" w:cs="Times New Roman"/>
          <w:sz w:val="24"/>
        </w:rPr>
        <w:t>缩短甚至取消就业后的实习期</w:t>
      </w:r>
      <w:r>
        <w:rPr>
          <w:rFonts w:hint="eastAsia" w:ascii="Times New Roman" w:hAnsi="Times New Roman" w:cs="Times New Roman"/>
          <w:sz w:val="24"/>
        </w:rPr>
        <w:t>，</w:t>
      </w:r>
      <w:r>
        <w:rPr>
          <w:rFonts w:ascii="Times New Roman" w:hAnsi="Times New Roman" w:cs="Times New Roman"/>
          <w:sz w:val="24"/>
        </w:rPr>
        <w:t>提高了企业人力资源的利用率。</w:t>
      </w:r>
    </w:p>
    <w:p>
      <w:pPr>
        <w:widowControl/>
        <w:spacing w:after="160" w:line="360" w:lineRule="auto"/>
        <w:jc w:val="center"/>
        <w:rPr>
          <w:rFonts w:ascii="宋体" w:hAnsi="宋体" w:eastAsia="宋体" w:cs="宋体"/>
          <w:b/>
          <w:bCs/>
          <w:color w:val="222222"/>
          <w:kern w:val="0"/>
          <w:sz w:val="24"/>
        </w:rPr>
      </w:pPr>
      <w:bookmarkStart w:id="0" w:name="_GoBack"/>
      <w:r>
        <w:rPr>
          <w:rFonts w:ascii="宋体" w:hAnsi="宋体" w:eastAsia="宋体" w:cs="宋体"/>
          <w:b/>
          <w:bCs/>
          <w:color w:val="222222"/>
          <w:kern w:val="0"/>
          <w:sz w:val="24"/>
        </w:rPr>
        <w:drawing>
          <wp:inline distT="0" distB="0" distL="114300" distR="114300">
            <wp:extent cx="5020310" cy="3766820"/>
            <wp:effectExtent l="0" t="0" r="8890" b="5080"/>
            <wp:docPr id="3" name="图片 3" descr="d27afc092eac7724a431ed622f73b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d27afc092eac7724a431ed622f73b42"/>
                    <pic:cNvPicPr>
                      <a:picLocks noChangeAspect="1"/>
                    </pic:cNvPicPr>
                  </pic:nvPicPr>
                  <pic:blipFill>
                    <a:blip r:embed="rId10"/>
                    <a:stretch>
                      <a:fillRect/>
                    </a:stretch>
                  </pic:blipFill>
                  <pic:spPr>
                    <a:xfrm>
                      <a:off x="0" y="0"/>
                      <a:ext cx="5020310" cy="3766820"/>
                    </a:xfrm>
                    <a:prstGeom prst="rect">
                      <a:avLst/>
                    </a:prstGeom>
                  </pic:spPr>
                </pic:pic>
              </a:graphicData>
            </a:graphic>
          </wp:inline>
        </w:drawing>
      </w:r>
      <w:bookmarkEnd w:id="0"/>
    </w:p>
    <w:p>
      <w:pPr>
        <w:spacing w:line="360" w:lineRule="auto"/>
        <w:ind w:firstLine="480" w:firstLineChars="200"/>
        <w:jc w:val="center"/>
        <w:rPr>
          <w:rFonts w:ascii="Times New Roman" w:hAnsi="Times New Roman" w:cs="Times New Roman"/>
          <w:sz w:val="24"/>
        </w:rPr>
      </w:pPr>
      <w:r>
        <w:rPr>
          <w:rFonts w:hint="eastAsia" w:ascii="Times New Roman" w:hAnsi="Times New Roman" w:cs="Times New Roman"/>
          <w:sz w:val="24"/>
        </w:rPr>
        <w:t>图5 拓岗就业研讨</w:t>
      </w:r>
    </w:p>
    <w:p>
      <w:pPr>
        <w:rPr>
          <w:rFonts w:ascii="Times New Roman" w:hAnsi="Times New Roman" w:cs="Times New Roman"/>
          <w:sz w:val="24"/>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Helvetica">
    <w:altName w:val="Arial"/>
    <w:panose1 w:val="020B0604020202020204"/>
    <w:charset w:val="00"/>
    <w:family w:val="swiss"/>
    <w:pitch w:val="default"/>
    <w:sig w:usb0="00000000" w:usb1="00000000" w:usb2="00000009" w:usb3="00000000" w:csb0="0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782DF24C"/>
    <w:multiLevelType w:val="singleLevel"/>
    <w:tmpl w:val="782DF24C"/>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5"/>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I4NDhjZWY1MGQ2Y2M1ZmE0Mzk0YjIzZDVhZjlkOGMifQ=="/>
  </w:docVars>
  <w:rsids>
    <w:rsidRoot w:val="00413DF9"/>
    <w:rsid w:val="00413DF9"/>
    <w:rsid w:val="0065756F"/>
    <w:rsid w:val="008D0932"/>
    <w:rsid w:val="00CE41D2"/>
    <w:rsid w:val="00E11E7B"/>
    <w:rsid w:val="05864DF1"/>
    <w:rsid w:val="0A4F019B"/>
    <w:rsid w:val="3CD57D52"/>
    <w:rsid w:val="5DC35DE2"/>
    <w:rsid w:val="6CAF729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nhideWhenUsed/>
    <w:qFormat/>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paragraph" w:styleId="2">
    <w:name w:val="Normal (Web)"/>
    <w:basedOn w:val="1"/>
    <w:qFormat/>
    <w:uiPriority w:val="0"/>
    <w:pPr>
      <w:spacing w:beforeAutospacing="1" w:afterAutospacing="1"/>
      <w:jc w:val="left"/>
    </w:pPr>
    <w:rPr>
      <w:rFonts w:cs="Times New Roman"/>
      <w:kern w:val="0"/>
      <w:sz w:val="24"/>
    </w:rPr>
  </w:style>
  <w:style w:type="character" w:styleId="5">
    <w:name w:val="Strong"/>
    <w:basedOn w:val="4"/>
    <w:qFormat/>
    <w:uiPriority w:val="0"/>
    <w:rPr>
      <w:b/>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6</Pages>
  <Words>1474</Words>
  <Characters>1510</Characters>
  <Lines>10</Lines>
  <Paragraphs>2</Paragraphs>
  <TotalTime>1</TotalTime>
  <ScaleCrop>false</ScaleCrop>
  <LinksUpToDate>false</LinksUpToDate>
  <CharactersWithSpaces>1517</CharactersWithSpaces>
  <Application>WPS Office_11.1.0.12980_F1E327BC-269C-435d-A152-05C5408002CA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2022-11-18T02:38:00Z</dcterms:created>
  <dc:creator>DELL</dc:creator>
  <cp:lastModifiedBy>茅晓薇</cp:lastModifiedBy>
  <dcterms:modified xsi:type="dcterms:W3CDTF">2022-12-22T08:25:46Z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A7EF979BEC574572877A92680A828107</vt:lpwstr>
  </property>
</Properties>
</file>