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2" w:lineRule="auto"/>
        <w:rPr>
          <w:rFonts w:ascii="Arial"/>
          <w:sz w:val="21"/>
        </w:rPr>
      </w:pPr>
    </w:p>
    <w:p>
      <w:pPr>
        <w:spacing w:line="242" w:lineRule="auto"/>
        <w:rPr>
          <w:rFonts w:ascii="Arial"/>
          <w:sz w:val="21"/>
        </w:rPr>
      </w:pPr>
    </w:p>
    <w:p>
      <w:pPr>
        <w:spacing w:line="242" w:lineRule="auto"/>
        <w:rPr>
          <w:rFonts w:ascii="Arial"/>
          <w:sz w:val="21"/>
        </w:rPr>
      </w:pPr>
    </w:p>
    <w:p>
      <w:pPr>
        <w:spacing w:line="242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before="140" w:line="221" w:lineRule="auto"/>
        <w:ind w:left="229"/>
        <w:rPr>
          <w:rFonts w:ascii="黑体" w:hAnsi="黑体" w:eastAsia="黑体" w:cs="黑体"/>
          <w:sz w:val="43"/>
          <w:szCs w:val="43"/>
        </w:rPr>
      </w:pPr>
      <w: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1532255</wp:posOffset>
            </wp:positionH>
            <wp:positionV relativeFrom="paragraph">
              <wp:posOffset>-245745</wp:posOffset>
            </wp:positionV>
            <wp:extent cx="2762250" cy="2222500"/>
            <wp:effectExtent l="0" t="0" r="6350" b="0"/>
            <wp:wrapNone/>
            <wp:docPr id="4" name="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5" cy="222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b/>
          <w:bCs/>
          <w:sz w:val="43"/>
          <w:szCs w:val="43"/>
        </w:rPr>
        <w:t>嘉环科技股份有限公司参与高等职业教育</w:t>
      </w:r>
    </w:p>
    <w:p>
      <w:pPr>
        <w:spacing w:before="101" w:line="610" w:lineRule="exact"/>
        <w:ind w:left="1513"/>
        <w:rPr>
          <w:rFonts w:ascii="黑体" w:hAnsi="黑体" w:eastAsia="黑体" w:cs="黑体"/>
          <w:sz w:val="43"/>
          <w:szCs w:val="43"/>
        </w:rPr>
      </w:pPr>
      <w:r>
        <w:rPr>
          <w:rFonts w:ascii="黑体" w:hAnsi="黑体" w:eastAsia="黑体" w:cs="黑体"/>
          <w:spacing w:val="24"/>
          <w:position w:val="12"/>
          <w:sz w:val="43"/>
          <w:szCs w:val="43"/>
        </w:rPr>
        <w:t>人才培养年度报告(2023)</w:t>
      </w:r>
    </w:p>
    <w:p>
      <w:pPr>
        <w:spacing w:before="1" w:line="220" w:lineRule="auto"/>
        <w:ind w:left="1753"/>
        <w:rPr>
          <w:rFonts w:ascii="黑体" w:hAnsi="黑体" w:eastAsia="黑体" w:cs="黑体"/>
          <w:sz w:val="43"/>
          <w:szCs w:val="43"/>
        </w:rPr>
      </w:pPr>
      <w:r>
        <w:rPr>
          <w:rFonts w:ascii="黑体" w:hAnsi="黑体" w:eastAsia="黑体" w:cs="黑体"/>
          <w:spacing w:val="10"/>
          <w:sz w:val="43"/>
          <w:szCs w:val="43"/>
        </w:rPr>
        <w:t>(南京工业职业技术大学)</w:t>
      </w:r>
    </w:p>
    <w:p>
      <w:pPr>
        <w:widowControl/>
        <w:spacing w:line="360" w:lineRule="auto"/>
        <w:jc w:val="center"/>
        <w:rPr>
          <w:rFonts w:hint="eastAsia" w:ascii="宋体" w:hAnsi="宋体" w:eastAsia="宋体" w:cs="宋体"/>
          <w:b/>
          <w:bCs/>
          <w:color w:val="222222"/>
          <w:kern w:val="0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/>
          <w:bCs/>
          <w:color w:val="222222"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32"/>
          <w:szCs w:val="32"/>
        </w:rPr>
        <w:t>嘉环科技股份有限公司参与高等职业教育人才培养</w:t>
      </w:r>
    </w:p>
    <w:p>
      <w:pPr>
        <w:widowControl/>
        <w:spacing w:line="360" w:lineRule="auto"/>
        <w:jc w:val="center"/>
        <w:rPr>
          <w:rFonts w:hint="eastAsia" w:ascii="宋体" w:hAnsi="宋体" w:eastAsia="宋体" w:cs="宋体"/>
          <w:b/>
          <w:bCs/>
          <w:color w:val="222222"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32"/>
          <w:szCs w:val="32"/>
        </w:rPr>
        <w:t>年度报告（202</w:t>
      </w:r>
      <w:r>
        <w:rPr>
          <w:rFonts w:ascii="宋体" w:hAnsi="宋体" w:eastAsia="宋体" w:cs="宋体"/>
          <w:b/>
          <w:bCs/>
          <w:color w:val="222222"/>
          <w:kern w:val="0"/>
          <w:sz w:val="32"/>
          <w:szCs w:val="32"/>
        </w:rPr>
        <w:t>3</w:t>
      </w:r>
      <w:r>
        <w:rPr>
          <w:rFonts w:hint="eastAsia" w:ascii="宋体" w:hAnsi="宋体" w:eastAsia="宋体" w:cs="宋体"/>
          <w:b/>
          <w:bCs/>
          <w:color w:val="222222"/>
          <w:kern w:val="0"/>
          <w:sz w:val="32"/>
          <w:szCs w:val="32"/>
        </w:rPr>
        <w:t>）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一、概况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t xml:space="preserve">   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嘉环科技股份有限公司创立于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1998 年，国家级高新技术企业，专注于ICT 技术服务，以服务构建产业最佳连接，致力打造智能世界一站式服务平台。目前拥有员工7000多人,业务覆盖全国31个省份200多个地市。主营业务为:通信网络综合服务、智能化综合服务、教育培训综合服务,为主流设备厂商，中国移动、中国电信、中国联通、铁塔公司、广电等运营商，政企行业客户等提供端到端全业务、全技术、全国落地，标准化一致性综合服务。</w:t>
      </w:r>
    </w:p>
    <w:p>
      <w:pPr>
        <w:widowControl/>
        <w:spacing w:line="360" w:lineRule="auto"/>
        <w:ind w:firstLine="42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公司坚持以持续创新为发展驱动力，不断完善研发创新机制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, 创建独立研发团队，自主开发大数据平台,构建项目管理系统、运维管理系统、网优PDMP管理系统、在线学习考试系统、高危操作及风险管控系统、数据决策分析系统等全业务智能化综合服务平台，实现可视、可控、合规等数字化管理手段，及时高效支撑满足现场交付需求及公司日常业务运作，此外,公司注重产学研合作，建设科技平台致力增强自主创新能力,在智慧城市、智慧园区、智慧灯杆、智能家居、智慧交通、智慧工厂、智慧教育等领域已取得重大突破。</w:t>
      </w:r>
    </w:p>
    <w:p>
      <w:pPr>
        <w:widowControl/>
        <w:spacing w:line="360" w:lineRule="auto"/>
        <w:ind w:firstLine="42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凭借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22年信息通信技术（ICT）工程实践经验和17年的信息通信专业培训经验，公司形成了一套完善的技术、管理人才培养体系。目前,公司已创立4所嘉环学院，与国内近100所院校达成校企合作业务。为行业客户提供教育咨询、培训认证服务等，输送大量专业人才。为高校提供专业建设、师资培养、实验室建设、顶岗实训及校企联合办学等服务解决方案。公司拥有多媒体智慧培训教室、专业机房及展厅等,面积近5000平方米，可容纳600 人并发学习，截至20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22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 xml:space="preserve"> 年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9月份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线上及线下累计培训交付约2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万人次。</w:t>
      </w:r>
    </w:p>
    <w:p>
      <w:pPr>
        <w:widowControl/>
        <w:spacing w:line="360" w:lineRule="auto"/>
        <w:ind w:firstLine="42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面向未来，嘉环科技坚持“专业、靠谱、贴心、求新”的价值观，以客户为中心，用专业与创新铸就品牌力量。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二、参与办学情况</w:t>
      </w:r>
    </w:p>
    <w:p>
      <w:pPr>
        <w:widowControl/>
        <w:spacing w:line="360" w:lineRule="auto"/>
        <w:ind w:firstLine="480" w:firstLineChars="200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t>南京工业职业技术大学与华为技术有限公司确定校企合作框架，引进华为先进的技术和设备，采取专业服务外包形式，由华为在国内最大的服务合作伙伴-嘉环科技股份有限公司落地教学交付运营，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整个合作项目具体分七大部分内容：企业新型学徒制、新工种培训基地、生产实训基地（学生实习就业基地）、华为网院、华为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1+X证书专业方向考点、大学生创新创业基地、产学研基地等，以满足学校及企业生产性运营、社会培训及产业合作科技研发等。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截止2022年11月已成功协助学校申报为华为ICT学院。</w:t>
      </w: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274310" cy="2806700"/>
            <wp:effectExtent l="1905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华为ICT学院官网截图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三、资源投入情况</w:t>
      </w:r>
    </w:p>
    <w:p>
      <w:pPr>
        <w:widowControl/>
        <w:spacing w:line="360" w:lineRule="auto"/>
        <w:ind w:firstLine="465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嘉环科技股份与南京工业职业技术大学共建华为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5G+数字化人才产教融合基地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，华为提供品牌活动支撑，授权华为技术传播等。嘉环投入现场驻场师资6名，专职项目管理人员1名，多次对原有实训机房进行设备版本升级及运维服务，2022年度新增设备价值约50.26万，同时利用嘉环的产业平台优势为学校积极引入外部资源，配合完成横向课题、社会服务等任务。</w:t>
      </w:r>
    </w:p>
    <w:p>
      <w:pPr>
        <w:pStyle w:val="17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t>师资培训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、社服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工作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为共同提高业务能力，企业通过引入师资培训的方式联合学校开展各种社会培训服务，并支持学院社服工作。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①2022中国人民解放军驻宁某部队通信工程职业技能提升培训</w:t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319905" cy="2872740"/>
            <wp:effectExtent l="19050" t="0" r="4350" b="0"/>
            <wp:docPr id="9" name="图片 4" descr="C:\Users\Administrator\Desktop\培训照片\20220902开班仪式合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Administrator\Desktop\培训照片\20220902开班仪式合影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72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图2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202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2年中国人民解放军驻宁某部队通信工程职业技能提升培训合影</w:t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319905" cy="3253105"/>
            <wp:effectExtent l="19050" t="0" r="4350" b="0"/>
            <wp:docPr id="16" name="图片 1" descr="C:\Users\Administrator\Documents\WXWork\1688856461339432\Cache\Image\2022-10\e462b3d8-8ffb-40f5-a63d-43ac090a4c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C:\Users\Administrator\Documents\WXWork\1688856461339432\Cache\Image\2022-10\e462b3d8-8ffb-40f5-a63d-43ac090a4c7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5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图3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202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2年中国人民解放军驻宁某部队通信工程职业技能提升培训现场照片</w:t>
      </w: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hint="eastAsia"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②2022华东区域华为1+X师资培训</w:t>
      </w:r>
    </w:p>
    <w:p>
      <w:pPr>
        <w:widowControl/>
        <w:spacing w:after="0"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805045" cy="2011680"/>
            <wp:effectExtent l="19050" t="0" r="0" b="0"/>
            <wp:docPr id="8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8652" cy="201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图4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2022华东区域华为1+X师资培训邀请函</w:t>
      </w:r>
    </w:p>
    <w:p>
      <w:pPr>
        <w:widowControl/>
        <w:spacing w:after="0"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845685" cy="3633470"/>
            <wp:effectExtent l="19050" t="0" r="0" b="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1425" cy="3637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图5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2022华东区域华为1+X师资培训现场照片</w:t>
      </w:r>
    </w:p>
    <w:p>
      <w:pPr>
        <w:pStyle w:val="17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t>实验实训室建设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嘉环科技与南京工业职业技术大学共建共建华为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5G+数字化人才产教融合基地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，包含整体装修，文化宣传，5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G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双创实验基地、华为1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+X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数通、S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DN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平台建设等，目前已经达到实训设备全国一流，成为国家级高水平实习实训基地，实验实训范围涵盖专业基础、专业核心、专业拓展课程。实训设备既有目前世界领先的华为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5G技术，也有嘉环科技的工程经验的结晶，实训条件既有先进性又和实际的产业和工程密切联系，并实现实训设备管理、预约管理、考核管理信息化。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2022年新增PON、PTN、网管服务器设备共计50.26万元。</w:t>
      </w:r>
    </w:p>
    <w:p>
      <w:pPr>
        <w:widowControl/>
        <w:spacing w:line="360" w:lineRule="auto"/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777740" cy="6374765"/>
            <wp:effectExtent l="19050" t="0" r="3248" b="0"/>
            <wp:docPr id="20" name="图片 4" descr="D:\工作\汇报材料\2022年企业年报（嘉环+南工）\设备捐赠2022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 descr="D:\工作\汇报材料\2022年企业年报（嘉环+南工）\设备捐赠202211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8254" cy="6374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图6 2022年企业捐赠设备备忘录</w:t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bidi="zh-CN"/>
        </w:rPr>
      </w:pPr>
    </w:p>
    <w:p>
      <w:pPr>
        <w:widowControl/>
        <w:spacing w:line="360" w:lineRule="auto"/>
        <w:ind w:firstLine="482" w:firstLineChars="200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四、参与教学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t>1.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专业建设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Cs/>
          <w:color w:val="222222"/>
          <w:kern w:val="0"/>
          <w:sz w:val="24"/>
          <w:szCs w:val="24"/>
        </w:rPr>
        <w:t>校企深度融合，利用校企双方丰富的产业及教育资源，联合申报国家级、省级各类项目，具体成果如下：</w:t>
      </w:r>
    </w:p>
    <w:p>
      <w:pPr>
        <w:pStyle w:val="3"/>
        <w:spacing w:before="156" w:after="156"/>
        <w:rPr>
          <w:rFonts w:ascii="宋体" w:hAnsi="宋体" w:eastAsia="宋体" w:cs="宋体"/>
          <w:b w:val="0"/>
          <w:color w:val="222222"/>
          <w:kern w:val="0"/>
          <w:szCs w:val="24"/>
        </w:rPr>
      </w:pPr>
      <w:r>
        <w:rPr>
          <w:rFonts w:hint="eastAsia" w:ascii="宋体" w:hAnsi="宋体" w:eastAsia="宋体" w:cs="宋体"/>
          <w:b w:val="0"/>
          <w:color w:val="222222"/>
          <w:kern w:val="0"/>
          <w:szCs w:val="24"/>
        </w:rPr>
        <w:t>①工业与信息化部产教融合专业合作建设试点单位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bCs/>
          <w:color w:val="222222"/>
          <w:kern w:val="0"/>
          <w:sz w:val="24"/>
          <w:szCs w:val="24"/>
        </w:rPr>
        <w:drawing>
          <wp:inline distT="0" distB="0" distL="114300" distR="114300">
            <wp:extent cx="4536440" cy="605536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403" cy="605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图7</w:t>
      </w:r>
      <w:r>
        <w:rPr>
          <w:rFonts w:hint="eastAsia" w:ascii="宋体" w:hAnsi="宋体" w:eastAsia="宋体" w:cs="宋体"/>
          <w:color w:val="222222"/>
          <w:kern w:val="0"/>
          <w:szCs w:val="24"/>
        </w:rPr>
        <w:t>工业与信息化部产教融合专业合作建设试点单位通知</w:t>
      </w:r>
    </w:p>
    <w:p>
      <w:pPr>
        <w:widowControl/>
        <w:spacing w:line="360" w:lineRule="auto"/>
        <w:ind w:firstLine="480" w:firstLineChars="200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bCs/>
          <w:color w:val="222222"/>
          <w:kern w:val="0"/>
          <w:sz w:val="24"/>
          <w:szCs w:val="24"/>
        </w:rPr>
        <w:drawing>
          <wp:inline distT="0" distB="0" distL="114300" distR="114300">
            <wp:extent cx="5384800" cy="6668135"/>
            <wp:effectExtent l="19050" t="0" r="6269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6828" cy="667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图8</w:t>
      </w:r>
      <w:r>
        <w:rPr>
          <w:rFonts w:hint="eastAsia" w:ascii="宋体" w:hAnsi="宋体" w:eastAsia="宋体" w:cs="宋体"/>
          <w:color w:val="222222"/>
          <w:kern w:val="0"/>
          <w:szCs w:val="24"/>
        </w:rPr>
        <w:t>工业与信息化部产教融合专业合作建设试点单位入围名单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ind w:firstLine="480" w:firstLineChars="200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ind w:firstLine="480" w:firstLineChars="200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ind w:firstLine="480" w:firstLineChars="200"/>
        <w:jc w:val="center"/>
        <w:rPr>
          <w:rFonts w:ascii="宋体" w:hAnsi="宋体" w:eastAsia="宋体" w:cs="宋体"/>
          <w:bCs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②江苏省职业教育校企合作示范组合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114300" distR="114300">
            <wp:extent cx="4508500" cy="3157855"/>
            <wp:effectExtent l="19050" t="0" r="601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8835" cy="315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图9 江苏省职业教育校企合作示范组合结果公示截图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pict>
          <v:rect id="_x0000_s1029" o:spid="_x0000_s1029" o:spt="1" style="position:absolute;left:0pt;margin-left:0.8pt;margin-top:169.05pt;height:33.8pt;width:432pt;z-index:251660288;mso-width-relative:page;mso-height-relative:page;" fillcolor="#FF0000" filled="t" stroked="t" coordsize="21600,21600">
            <v:path/>
            <v:fill on="t" opacity="0f" focussize="0,0"/>
            <v:stroke weight="3pt" color="#FF0000"/>
            <v:imagedata o:title=""/>
            <o:lock v:ext="edit"/>
          </v:rect>
        </w:pic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460365" cy="2734310"/>
            <wp:effectExtent l="19050" t="0" r="6733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3910" cy="2736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图10 江苏省职业教育校企合作示范组合结果公示名单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③江苏省职业技能等级认定第三方评价机构</w:t>
      </w:r>
    </w:p>
    <w:p>
      <w:pPr>
        <w:widowControl/>
        <w:spacing w:line="360" w:lineRule="auto"/>
        <w:ind w:firstLine="480" w:firstLineChars="200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752975" cy="2758440"/>
            <wp:effectExtent l="19050" t="0" r="9525" b="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8551" cy="276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图11 江苏省职业技能等级认定第三方评价机构申报材料截图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④嘉环科技入围江苏省级职业教育教师企业实践基地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114300" distR="114300">
            <wp:extent cx="5418455" cy="2734310"/>
            <wp:effectExtent l="19050" t="0" r="0" b="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7763" cy="2739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图12 江苏省职业教育教师企业实践基地公示截图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pict>
          <v:rect id="_x0000_s1030" o:spid="_x0000_s1030" o:spt="1" style="position:absolute;left:0pt;margin-left:32.7pt;margin-top:65.25pt;height:27pt;width:348.5pt;z-index:251661312;mso-width-relative:page;mso-height-relative:page;" stroked="t" coordsize="21600,21600">
            <v:path/>
            <v:fill opacity="0f" focussize="0,0"/>
            <v:stroke weight="3pt" color="#FF0000"/>
            <v:imagedata o:title=""/>
            <o:lock v:ext="edit"/>
          </v:rect>
        </w:pic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114300" distR="114300">
            <wp:extent cx="4722495" cy="2385695"/>
            <wp:effectExtent l="19050" t="0" r="13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8958" cy="238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图13 江苏省职业教育教师企业实践基地公示名单截图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2.人才培养方案</w:t>
      </w:r>
    </w:p>
    <w:p>
      <w:pPr>
        <w:widowControl/>
        <w:spacing w:line="360" w:lineRule="auto"/>
        <w:ind w:firstLine="465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2022年度，嘉环科技邀请行业内经验丰富的技术专家协助教学部，多次研讨、论证，完成了2022级现代通信工程（普高本科）、2022级现代通信工程（3+2本科）、2022级现代通信工程（对口单招本科）、2021级现代通信工程（普高本科）四项人才培养方案的修订，并对整体课程的设置和授课计划进行了优化，为后期本科学生的培养奠定了基础。</w:t>
      </w: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274310" cy="1072515"/>
            <wp:effectExtent l="19050" t="0" r="254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图14 教务系统人才培养方案截图</w:t>
      </w: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3.资源开发</w:t>
      </w:r>
    </w:p>
    <w:p>
      <w:pPr>
        <w:widowControl/>
        <w:spacing w:line="360" w:lineRule="auto"/>
        <w:ind w:firstLine="480" w:firstLineChars="200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嘉环科技依托企业平台资源，利用大量技术方案、产品手册、项目经验为学校老师的科研、资源开发方面提供有力支持。校企混编团队通力合作，获得2022年度工信行指委科研课题立项一项；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2022 年度校本教育研究立项课题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一项；教材开发方面已有5本教材同步进行，具体如下：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491990" cy="5365115"/>
            <wp:effectExtent l="19050" t="0" r="3631" b="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7942" cy="537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图15 2022年度工信行指委科研课题立项通知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pict>
          <v:rect id="_x0000_s1028" o:spid="_x0000_s1028" o:spt="1" style="position:absolute;left:0pt;margin-left:11.3pt;margin-top:59.25pt;height:21.75pt;width:425.1pt;z-index:251659264;mso-width-relative:page;mso-height-relative:page;" stroked="t" coordsize="21600,21600">
            <v:path/>
            <v:fill opacity="0f" focussize="0,0"/>
            <v:stroke weight="3pt" color="#FF0000"/>
            <v:imagedata o:title=""/>
            <o:lock v:ext="edit"/>
          </v:rect>
        </w:pic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484495" cy="1459230"/>
            <wp:effectExtent l="19050" t="0" r="1797" b="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3856" cy="14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图16 2022年度工信行指委科研课题立项名录截图</w:t>
      </w: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pict>
          <v:rect id="_x0000_s1031" o:spid="_x0000_s1031" o:spt="1" style="position:absolute;left:0pt;margin-left:-2.6pt;margin-top:47.55pt;height:21.75pt;width:425.1pt;z-index:251662336;mso-width-relative:page;mso-height-relative:page;" stroked="t" coordsize="21600,21600">
            <v:path/>
            <v:fill opacity="0f" focussize="0,0"/>
            <v:stroke weight="3pt" color="#FF0000"/>
            <v:imagedata o:title=""/>
            <o:lock v:ext="edit"/>
          </v:rect>
        </w:pic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274310" cy="1155065"/>
            <wp:effectExtent l="19050" t="0" r="254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 xml:space="preserve">图17 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>2022 年度校本教育研究立项课题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公示截图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4838700" cy="2329180"/>
            <wp:effectExtent l="19050" t="0" r="0" b="0"/>
            <wp:docPr id="18" name="图片 7" descr="D:\工作\汇报材料\2022年企业年报（嘉环+南工）\支撑材料\2022 年度校本教育研究立项课题名单(骆静课程组成员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 descr="D:\工作\汇报材料\2022年企业年报（嘉环+南工）\支撑材料\2022 年度校本教育研究立项课题名单(骆静课程组成员）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4326" cy="23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 xml:space="preserve">图18 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>2022 年度校本教育研究立项课题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成员组截图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4"/>
        </w:rPr>
        <w:t>表1 教材开发情况表</w:t>
      </w:r>
    </w:p>
    <w:tbl>
      <w:tblPr>
        <w:tblStyle w:val="7"/>
        <w:tblW w:w="8803" w:type="dxa"/>
        <w:tblInd w:w="-55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96"/>
        <w:gridCol w:w="2344"/>
        <w:gridCol w:w="146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single" w:color="D8D8D8" w:sz="8" w:space="0"/>
              <w:left w:val="nil"/>
              <w:bottom w:val="single" w:color="D8D8D8" w:sz="8" w:space="0"/>
              <w:right w:val="nil"/>
            </w:tcBorders>
            <w:shd w:val="clear" w:color="000000" w:fill="B8CCE4"/>
            <w:noWrap/>
            <w:vAlign w:val="center"/>
          </w:tcPr>
          <w:p>
            <w:pPr>
              <w:widowControl/>
              <w:spacing w:after="0" w:line="240" w:lineRule="auto"/>
              <w:ind w:firstLine="221" w:firstLineChars="100"/>
              <w:jc w:val="left"/>
              <w:rPr>
                <w:rFonts w:hint="eastAsia"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  <w:t>数据通信 B （项目三-项目五）</w:t>
            </w:r>
          </w:p>
        </w:tc>
        <w:tc>
          <w:tcPr>
            <w:tcW w:w="2344" w:type="dxa"/>
            <w:tcBorders>
              <w:top w:val="single" w:color="D8D8D8" w:sz="8" w:space="0"/>
              <w:left w:val="nil"/>
              <w:bottom w:val="single" w:color="D8D8D8" w:sz="8" w:space="0"/>
              <w:right w:val="nil"/>
            </w:tcBorders>
            <w:shd w:val="clear" w:color="000000" w:fill="B8CCE4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　</w:t>
            </w:r>
          </w:p>
        </w:tc>
        <w:tc>
          <w:tcPr>
            <w:tcW w:w="1463" w:type="dxa"/>
            <w:tcBorders>
              <w:top w:val="single" w:color="D8D8D8" w:sz="8" w:space="0"/>
              <w:left w:val="nil"/>
              <w:bottom w:val="single" w:color="D8D8D8" w:sz="8" w:space="0"/>
              <w:right w:val="nil"/>
            </w:tcBorders>
            <w:shd w:val="clear" w:color="000000" w:fill="B8CCE4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1、编写项目三 内容编辑、图片制作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骆静、李敏、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李宣宣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2、编写项目四 内容编辑、图片制作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骆静、李敏、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李宣宣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3、编写项目五 内容编辑、图片制作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骆静、李敏、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李宣宣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5F1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6B9B8"/>
            <w:noWrap/>
            <w:vAlign w:val="center"/>
          </w:tcPr>
          <w:p>
            <w:pPr>
              <w:widowControl/>
              <w:spacing w:after="0" w:line="240" w:lineRule="auto"/>
              <w:ind w:firstLine="221" w:firstLineChars="100"/>
              <w:jc w:val="left"/>
              <w:rPr>
                <w:rFonts w:hint="eastAsia"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  <w:t>网络规划与优化（项目一、五、六、七）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6B9B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　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6B9B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项目五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刘国燕、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高文鹏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项目六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刘国燕、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高文鹏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项目七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刘国燕、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高文鹏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项目一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刘国燕、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高文鹏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F2DDD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7E4BC"/>
            <w:noWrap/>
            <w:vAlign w:val="center"/>
          </w:tcPr>
          <w:p>
            <w:pPr>
              <w:widowControl/>
              <w:spacing w:after="0" w:line="240" w:lineRule="auto"/>
              <w:ind w:firstLine="221" w:firstLineChars="100"/>
              <w:jc w:val="left"/>
              <w:rPr>
                <w:rFonts w:hint="eastAsia"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  <w:t>Java面向对象编程基础（初稿）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7E4B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　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7E4B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项目1：互联网路质量拨测系统方案设计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项目2：Java程序设计初识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项目3：定义IP云拨测系统功能接口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项目4：IP云拨测系统网络信息管理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项目5：使用ArrayList集合添加拨测IP地址信息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项目6: 云拨测系统前端页面设计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项目7: IP条件查询触发线程信息处理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50%</w:t>
            </w:r>
          </w:p>
        </w:tc>
      </w:tr>
      <w:tr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项目8：云拨测平台模拟实现BS请求网页信息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0%</w:t>
            </w:r>
          </w:p>
        </w:tc>
      </w:tr>
      <w:tr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项目9：项目开发过程文档归档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李坡、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AF1DD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CCC0DA"/>
            <w:noWrap/>
            <w:vAlign w:val="center"/>
          </w:tcPr>
          <w:p>
            <w:pPr>
              <w:widowControl/>
              <w:spacing w:after="0" w:line="240" w:lineRule="auto"/>
              <w:ind w:firstLine="221" w:firstLineChars="100"/>
              <w:jc w:val="left"/>
              <w:rPr>
                <w:rFonts w:hint="eastAsia"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  <w:t>5G技术与应用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CCC0DA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　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CCC0DA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重点确定5G+应用的修改方案，收集相关资料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完成“5G网络规划与部署”的修订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完成“设备安装”的修订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完成“调试与开通”的修订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完成“验收测试与交付”的修订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完成“操作与维护”的修订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收集资料，确认5G+应用部分的修改方案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完成5G+应用部分初稿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完成5G+应用部分修改稿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E5E0EC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4BACC6"/>
            <w:noWrap/>
            <w:vAlign w:val="center"/>
          </w:tcPr>
          <w:p>
            <w:pPr>
              <w:widowControl/>
              <w:spacing w:after="0" w:line="240" w:lineRule="auto"/>
              <w:ind w:firstLine="221" w:firstLineChars="100"/>
              <w:jc w:val="left"/>
              <w:rPr>
                <w:rFonts w:hint="eastAsia"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b/>
                <w:bCs/>
                <w:color w:val="000000"/>
                <w:kern w:val="0"/>
                <w:sz w:val="22"/>
              </w:rPr>
              <w:t>移动通信技术（初稿）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4BACC6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　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4BACC6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项目五任务1初稿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项目五任务2初稿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项目五任务3初稿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项目五整体 初稿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90%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任务4.1 了解LTE基础知识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任务4.2 熟悉LTE网络架构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任务4.3 EPC 组网与数据配置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任务4.4 eNodeB 认识与数据配置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80%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4996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ind w:firstLine="440" w:firstLineChars="200"/>
              <w:jc w:val="left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项目四 背景与小结</w:t>
            </w:r>
          </w:p>
        </w:tc>
        <w:tc>
          <w:tcPr>
            <w:tcW w:w="2344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</w:pPr>
            <w:r>
              <w:rPr>
                <w:rFonts w:hint="eastAsia" w:ascii="Microsoft YaHei UI" w:hAnsi="Microsoft YaHei UI" w:eastAsia="宋体" w:cs="宋体"/>
                <w:color w:val="000000"/>
                <w:kern w:val="0"/>
                <w:sz w:val="22"/>
              </w:rPr>
              <w:t>徐利、</w:t>
            </w:r>
            <w:r>
              <w:rPr>
                <w:rFonts w:ascii="Microsoft YaHei UI" w:hAnsi="Microsoft YaHei UI" w:eastAsia="宋体" w:cs="宋体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1463" w:type="dxa"/>
            <w:tcBorders>
              <w:top w:val="nil"/>
              <w:left w:val="nil"/>
              <w:bottom w:val="single" w:color="D8D8D8" w:sz="8" w:space="0"/>
              <w:right w:val="nil"/>
            </w:tcBorders>
            <w:shd w:val="clear" w:color="000000" w:fill="DBEEF3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hint="eastAsia" w:ascii="Microsoft YaHei UI" w:hAnsi="Microsoft YaHei UI" w:eastAsia="宋体" w:cs="宋体"/>
                <w:kern w:val="0"/>
                <w:sz w:val="22"/>
              </w:rPr>
            </w:pPr>
            <w:r>
              <w:rPr>
                <w:rFonts w:ascii="Microsoft YaHei UI" w:hAnsi="Microsoft YaHei UI" w:eastAsia="宋体" w:cs="宋体"/>
                <w:kern w:val="0"/>
                <w:sz w:val="22"/>
              </w:rPr>
              <w:t>100%</w:t>
            </w:r>
          </w:p>
        </w:tc>
      </w:tr>
    </w:tbl>
    <w:p>
      <w:pPr>
        <w:widowControl/>
        <w:spacing w:line="360" w:lineRule="auto"/>
        <w:rPr>
          <w:kern w:val="0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4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.学生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培养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工作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派遣资深工业现场工程师参与华为认证课程授课，将最新的华为技术、认证工程师技能要求，分享给同学，并与我校老师成立各学科的课程团队，进行混编授课，2022年度企业工程师累计提供教学服务880课时，具体情况如下表：</w:t>
      </w:r>
    </w:p>
    <w:p>
      <w:pPr>
        <w:widowControl/>
        <w:spacing w:line="360" w:lineRule="auto"/>
        <w:ind w:firstLine="400" w:firstLineChars="20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表2:2022年度嘉环科技企业讲师授课清单</w:t>
      </w:r>
    </w:p>
    <w:tbl>
      <w:tblPr>
        <w:tblStyle w:val="7"/>
        <w:tblW w:w="8760" w:type="dxa"/>
        <w:tblInd w:w="9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0"/>
        <w:gridCol w:w="3000"/>
        <w:gridCol w:w="3000"/>
        <w:gridCol w:w="152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8D8D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  <w:t>教师姓名</w:t>
            </w:r>
          </w:p>
        </w:tc>
        <w:tc>
          <w:tcPr>
            <w:tcW w:w="30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8D8D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  <w:t>授课课程</w:t>
            </w:r>
          </w:p>
        </w:tc>
        <w:tc>
          <w:tcPr>
            <w:tcW w:w="300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8D8D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  <w:t>授课班级</w:t>
            </w:r>
          </w:p>
        </w:tc>
        <w:tc>
          <w:tcPr>
            <w:tcW w:w="152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8D8D8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ahoma"/>
                <w:b/>
                <w:bCs/>
                <w:color w:val="000000"/>
                <w:kern w:val="0"/>
                <w:sz w:val="24"/>
                <w:szCs w:val="24"/>
              </w:rPr>
              <w:t>累计课时数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顾维锋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单片机原理与创新运用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通信2011/2021/2031选修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16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云平台技术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通信2011/2021/2031选修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高文鹏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宽带接入技术A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96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广电网络工程综合实训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72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移动通信网络规划与优化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96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李宣宣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光传输技术C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通信2011/2021/2031选修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32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数据通信基础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通信2011/2021/2031选修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16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数据通信技术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通信2233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数据通信实训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通信2231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项目管理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96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吴捷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通信工程综合实训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80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孟磊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通信工程综合实训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通信2011/2021/2031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88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吕剑明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现代交换技术A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4G/5G通信技术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通信2031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240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after="0" w:line="240" w:lineRule="auto"/>
              <w:jc w:val="left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现代通信原理</w:t>
            </w:r>
          </w:p>
        </w:tc>
        <w:tc>
          <w:tcPr>
            <w:tcW w:w="300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通信2233</w:t>
            </w:r>
          </w:p>
        </w:tc>
        <w:tc>
          <w:tcPr>
            <w:tcW w:w="152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spacing w:after="0" w:line="240" w:lineRule="auto"/>
              <w:jc w:val="center"/>
              <w:rPr>
                <w:rFonts w:ascii="宋体" w:hAnsi="宋体" w:eastAsia="宋体" w:cs="Tahoma"/>
                <w:color w:val="000000"/>
                <w:kern w:val="0"/>
                <w:sz w:val="22"/>
              </w:rPr>
            </w:pPr>
            <w:r>
              <w:rPr>
                <w:rFonts w:hint="eastAsia" w:ascii="宋体" w:hAnsi="宋体" w:eastAsia="宋体" w:cs="Tahoma"/>
                <w:color w:val="000000"/>
                <w:kern w:val="0"/>
                <w:sz w:val="22"/>
              </w:rPr>
              <w:t>48</w:t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jc w:val="left"/>
        <w:textAlignment w:val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同时，嘉环科技的工程师积极辅导学生参加各类大赛活动，通信技术专业学生在第九届“大唐杯”全国大学生移动通信5G技术大赛国赛一等奖一项、优秀奖一项；省赛一等奖两项、二等奖六项、三等奖九项；“互联网+”大学生创新创业大赛产业赛道国赛二等奖一项；2022年度金砖国家职业技能大赛5G网络建设与运维技术应用赛省赛二等奖一项；第六届“经世IUV杯”全国大学生现代通信网络部署与优化设计大赛区域赛二等奖一项。</w:t>
      </w: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274310" cy="3831590"/>
            <wp:effectExtent l="19050" t="0" r="2540" b="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图19 2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>02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2年“大唐杯”移动通信5G技术大赛国赛一等奖获奖证书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ascii="宋体" w:hAnsi="宋体" w:eastAsia="宋体" w:cs="宋体"/>
          <w:color w:val="222222"/>
          <w:kern w:val="0"/>
          <w:sz w:val="20"/>
          <w:szCs w:val="20"/>
        </w:rPr>
        <w:drawing>
          <wp:inline distT="0" distB="0" distL="0" distR="0">
            <wp:extent cx="5274310" cy="3733165"/>
            <wp:effectExtent l="19050" t="0" r="2540" b="0"/>
            <wp:docPr id="2" name="图片 1" descr="D:\工作\汇报材料\2022年企业年报（嘉环+南工）\支撑材料\2022大唐杯国赛优秀奖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:\工作\汇报材料\2022年企业年报（嘉环+南工）\支撑材料\2022大唐杯国赛优秀奖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图20 2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>02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2年“大唐杯”移动通信5G技术大赛国赛优秀奖获奖证书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0"/>
        </w:rPr>
      </w:pPr>
      <w:bookmarkStart w:id="1" w:name="_GoBack"/>
      <w:bookmarkEnd w:id="1"/>
      <w:r>
        <w:rPr>
          <w:rFonts w:hint="eastAsia" w:ascii="宋体" w:hAnsi="宋体" w:eastAsia="宋体" w:cs="宋体"/>
          <w:color w:val="222222"/>
          <w:kern w:val="0"/>
          <w:sz w:val="24"/>
          <w:szCs w:val="20"/>
        </w:rPr>
        <w:t>5.师资队伍建设</w:t>
      </w:r>
    </w:p>
    <w:p>
      <w:pPr>
        <w:widowControl/>
        <w:spacing w:line="360" w:lineRule="auto"/>
        <w:ind w:firstLine="480" w:firstLineChars="20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嘉环利用产业背景资源，积极安排多名通信专业老师下企业实践，参与到新技术、新产品的应用研发，真正做到双师能力提升，一线的实践环境和最新的技术实施给老师教学素材获取，提升视野起到积极作用。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ascii="宋体" w:hAnsi="宋体" w:eastAsia="宋体" w:cs="宋体"/>
          <w:color w:val="222222"/>
          <w:kern w:val="0"/>
          <w:sz w:val="24"/>
          <w:szCs w:val="24"/>
        </w:rPr>
        <w:drawing>
          <wp:inline distT="0" distB="0" distL="0" distR="0">
            <wp:extent cx="5274310" cy="7033260"/>
            <wp:effectExtent l="19050" t="0" r="2540" b="0"/>
            <wp:docPr id="19" name="图片 5" descr="C:\Users\ADMINI~1\AppData\Local\Temp\WeChat Files\50766077b0805325ff29d9f501d9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C:\Users\ADMINI~1\AppData\Local\Temp\WeChat Files\50766077b0805325ff29d9f501d958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图21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王丹老师企业实践审批材料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Times New Roman"/>
          <w:sz w:val="18"/>
          <w:szCs w:val="18"/>
        </w:rPr>
      </w:pPr>
      <w:r>
        <w:rPr>
          <w:rFonts w:hint="eastAsia" w:ascii="宋体" w:hAnsi="宋体" w:eastAsia="宋体" w:cs="Times New Roman"/>
          <w:sz w:val="18"/>
          <w:szCs w:val="18"/>
        </w:rPr>
        <w:drawing>
          <wp:inline distT="0" distB="0" distL="0" distR="0">
            <wp:extent cx="5274310" cy="7035165"/>
            <wp:effectExtent l="19050" t="0" r="2540" b="0"/>
            <wp:docPr id="21" name="图片 25" descr="骆静企业实践材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5" descr="骆静企业实践材料.jp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图22</w:t>
      </w:r>
      <w:r>
        <w:rPr>
          <w:rFonts w:ascii="宋体" w:hAnsi="宋体" w:eastAsia="宋体" w:cs="宋体"/>
          <w:color w:val="222222"/>
          <w:kern w:val="0"/>
          <w:sz w:val="20"/>
          <w:szCs w:val="20"/>
        </w:rPr>
        <w:t xml:space="preserve"> </w:t>
      </w:r>
      <w:r>
        <w:rPr>
          <w:rFonts w:hint="eastAsia" w:ascii="宋体" w:hAnsi="宋体" w:eastAsia="宋体" w:cs="宋体"/>
          <w:color w:val="222222"/>
          <w:kern w:val="0"/>
          <w:sz w:val="20"/>
          <w:szCs w:val="20"/>
        </w:rPr>
        <w:t>骆静老师企业实践审批材料</w:t>
      </w:r>
    </w:p>
    <w:p>
      <w:pPr>
        <w:pStyle w:val="17"/>
        <w:widowControl/>
        <w:spacing w:line="360" w:lineRule="auto"/>
        <w:ind w:left="900" w:firstLine="0" w:firstLineChars="0"/>
        <w:jc w:val="center"/>
        <w:rPr>
          <w:rFonts w:ascii="宋体" w:hAnsi="宋体" w:eastAsia="宋体" w:cs="宋体"/>
          <w:color w:val="222222"/>
          <w:kern w:val="0"/>
          <w:sz w:val="20"/>
          <w:szCs w:val="20"/>
        </w:rPr>
      </w:pPr>
    </w:p>
    <w:p>
      <w:pPr>
        <w:widowControl/>
        <w:spacing w:line="360" w:lineRule="auto"/>
        <w:ind w:firstLine="360" w:firstLineChars="200"/>
        <w:jc w:val="left"/>
        <w:rPr>
          <w:rFonts w:ascii="宋体" w:hAnsi="宋体" w:eastAsia="宋体" w:cs="Times New Roman"/>
          <w:sz w:val="18"/>
          <w:szCs w:val="18"/>
        </w:rPr>
      </w:pPr>
    </w:p>
    <w:p>
      <w:pPr>
        <w:widowControl/>
        <w:spacing w:line="360" w:lineRule="auto"/>
        <w:rPr>
          <w:rFonts w:ascii="宋体" w:hAnsi="宋体" w:eastAsia="宋体" w:cs="宋体"/>
          <w:color w:val="222222"/>
          <w:kern w:val="0"/>
          <w:sz w:val="20"/>
          <w:szCs w:val="20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五、助推企业发展情况</w:t>
      </w:r>
    </w:p>
    <w:p>
      <w:pPr>
        <w:widowControl/>
        <w:spacing w:line="360" w:lineRule="auto"/>
        <w:ind w:firstLine="480"/>
        <w:jc w:val="left"/>
        <w:rPr>
          <w:rFonts w:ascii="宋体" w:hAnsi="宋体" w:eastAsia="宋体" w:cs="宋体"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华为5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G+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产教融合基地所配置的5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G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实验室环境以企业网真实设备为基础，可实现现网手机上网、5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G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通信等业务，并且后期可以开展多种5</w:t>
      </w:r>
      <w:r>
        <w:rPr>
          <w:rFonts w:ascii="宋体" w:hAnsi="宋体" w:eastAsia="宋体" w:cs="宋体"/>
          <w:color w:val="222222"/>
          <w:kern w:val="0"/>
          <w:sz w:val="24"/>
          <w:szCs w:val="24"/>
        </w:rPr>
        <w:t>G+</w:t>
      </w:r>
      <w:r>
        <w:rPr>
          <w:rFonts w:hint="eastAsia" w:ascii="宋体" w:hAnsi="宋体" w:eastAsia="宋体" w:cs="宋体"/>
          <w:color w:val="222222"/>
          <w:kern w:val="0"/>
          <w:sz w:val="24"/>
          <w:szCs w:val="24"/>
        </w:rPr>
        <w:t>行业应用测试、研发，吸引了周边院校、行业客户的关注，并获得好评。目前已经利用此平台，对南邮门户网站项目进行测试。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六、服务地方</w:t>
      </w:r>
    </w:p>
    <w:p>
      <w:pPr>
        <w:pStyle w:val="14"/>
        <w:spacing w:line="360" w:lineRule="auto"/>
        <w:ind w:firstLineChars="0"/>
        <w:rPr>
          <w:rFonts w:ascii="宋体" w:hAnsi="宋体" w:cs="宋体"/>
          <w:color w:val="222222"/>
          <w:kern w:val="0"/>
          <w:sz w:val="24"/>
        </w:rPr>
      </w:pPr>
      <w:r>
        <w:rPr>
          <w:rFonts w:hint="eastAsia" w:ascii="宋体" w:hAnsi="宋体" w:cs="宋体"/>
          <w:color w:val="222222"/>
          <w:kern w:val="0"/>
          <w:sz w:val="24"/>
        </w:rPr>
        <w:t>在做好人才培养的同时，非常重视为社会和企业开展教育培训服务、技术服务。校企双方积极开展及申报各类培训，对外承接业务。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七、保障体系</w:t>
      </w:r>
    </w:p>
    <w:p>
      <w:pPr>
        <w:pStyle w:val="14"/>
        <w:spacing w:after="0" w:line="360" w:lineRule="auto"/>
        <w:ind w:firstLine="480"/>
        <w:rPr>
          <w:rFonts w:ascii="宋体" w:hAnsi="宋体"/>
          <w:sz w:val="24"/>
        </w:rPr>
      </w:pPr>
      <w:bookmarkStart w:id="0" w:name="_Hlk25703341"/>
      <w:r>
        <w:rPr>
          <w:rFonts w:hint="eastAsia" w:ascii="宋体" w:hAnsi="宋体"/>
          <w:sz w:val="24"/>
        </w:rPr>
        <w:t>华为与我校签署战略合作框架协议，明确合作愿景及双方职责。学校保证人才培养质量，保证企业用人的优选权，为企业提供培训、技术等方面的支持。企业保证在设备、场地等条件上的支持及人员的支持，保证学生实训任务的安排。</w:t>
      </w:r>
    </w:p>
    <w:p>
      <w:pPr>
        <w:pStyle w:val="14"/>
        <w:spacing w:after="0" w:line="360" w:lineRule="auto"/>
        <w:ind w:firstLine="0"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为保障合作的延续性，华为的本地合作伙伴嘉环科技依托华为技术，三方共同管理，学院在统筹考虑专业建设、教学教务、学生管理、科研社服等方面，制定华为产教融合基地年度工作任务，并对工作任务的进度按照学期统筹制定计划。学校为加强工作任务执行的过程把控，按照季度对年度工作任务及考核指标进行验收，由二级学院、发展合作处、教务处等部门负责验收的组织工作，提交检查验收报告，确认工作任务的完成情况，评估任务完成情况。</w:t>
      </w:r>
    </w:p>
    <w:bookmarkEnd w:id="0"/>
    <w:p>
      <w:pPr>
        <w:widowControl/>
        <w:spacing w:line="360" w:lineRule="auto"/>
        <w:jc w:val="left"/>
        <w:rPr>
          <w:rFonts w:ascii="宋体" w:hAnsi="宋体" w:eastAsia="宋体" w:cs="宋体"/>
          <w:b/>
          <w:bCs/>
          <w:color w:val="222222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222222"/>
          <w:kern w:val="0"/>
          <w:sz w:val="24"/>
          <w:szCs w:val="24"/>
        </w:rPr>
        <w:t>八、问题与展望</w:t>
      </w:r>
    </w:p>
    <w:p>
      <w:pPr>
        <w:shd w:val="clear" w:color="auto" w:fill="FFFFFF"/>
        <w:spacing w:line="360" w:lineRule="auto"/>
        <w:ind w:firstLine="480" w:firstLineChars="200"/>
        <w:rPr>
          <w:rFonts w:ascii="宋体" w:hAnsi="宋体" w:eastAsia="宋体" w:cs="Arial"/>
          <w:color w:val="333333"/>
          <w:sz w:val="24"/>
          <w:szCs w:val="24"/>
        </w:rPr>
      </w:pPr>
      <w:r>
        <w:rPr>
          <w:rFonts w:hint="eastAsia" w:ascii="宋体" w:hAnsi="宋体" w:eastAsia="宋体" w:cs="Helvetica"/>
          <w:color w:val="333333"/>
          <w:sz w:val="24"/>
          <w:szCs w:val="24"/>
        </w:rPr>
        <w:t>学校升级为全国首批职业本科，如何在职业本科赛道中领先，为其他院校升级树立样板案例，如何能贴切政策，做好职业本科教育改革，培养出大国工匠，是不断值得探索与思考的问题。未来我们将紧跟通信新技术发展，紧密联系外部产业，深耕一线人才技能需求，加强校企多方联动，打造一流的教学、科研、产业应用平台，提升教学能力的同时，服务地方企业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87C2ADF"/>
    <w:multiLevelType w:val="multilevel"/>
    <w:tmpl w:val="387C2ADF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DI4NDhjZWY1MGQ2Y2M1ZmE0Mzk0YjIzZDVhZjlkOGMifQ=="/>
  </w:docVars>
  <w:rsids>
    <w:rsidRoot w:val="009E2E4F"/>
    <w:rsid w:val="00004407"/>
    <w:rsid w:val="000139A6"/>
    <w:rsid w:val="000527C7"/>
    <w:rsid w:val="0006216C"/>
    <w:rsid w:val="00065FF6"/>
    <w:rsid w:val="00070338"/>
    <w:rsid w:val="00080D8B"/>
    <w:rsid w:val="00082BFF"/>
    <w:rsid w:val="000838D2"/>
    <w:rsid w:val="00092AD4"/>
    <w:rsid w:val="000A4EE0"/>
    <w:rsid w:val="000B414A"/>
    <w:rsid w:val="000B42AF"/>
    <w:rsid w:val="000B7711"/>
    <w:rsid w:val="000B7EDB"/>
    <w:rsid w:val="000C5220"/>
    <w:rsid w:val="000E4A3D"/>
    <w:rsid w:val="000F7A4B"/>
    <w:rsid w:val="00103FEF"/>
    <w:rsid w:val="00104954"/>
    <w:rsid w:val="001115BF"/>
    <w:rsid w:val="00113855"/>
    <w:rsid w:val="00134E60"/>
    <w:rsid w:val="00147D75"/>
    <w:rsid w:val="00162785"/>
    <w:rsid w:val="0017457B"/>
    <w:rsid w:val="001753EF"/>
    <w:rsid w:val="0018002E"/>
    <w:rsid w:val="00184928"/>
    <w:rsid w:val="00187F0E"/>
    <w:rsid w:val="0019549C"/>
    <w:rsid w:val="001971E4"/>
    <w:rsid w:val="001D4AFA"/>
    <w:rsid w:val="001F327E"/>
    <w:rsid w:val="00204C18"/>
    <w:rsid w:val="002063C3"/>
    <w:rsid w:val="0021595E"/>
    <w:rsid w:val="00223819"/>
    <w:rsid w:val="002254D4"/>
    <w:rsid w:val="002317B8"/>
    <w:rsid w:val="00232A2C"/>
    <w:rsid w:val="00233965"/>
    <w:rsid w:val="00237CD5"/>
    <w:rsid w:val="00240A0A"/>
    <w:rsid w:val="00252265"/>
    <w:rsid w:val="00253186"/>
    <w:rsid w:val="00257441"/>
    <w:rsid w:val="0026594A"/>
    <w:rsid w:val="0026628C"/>
    <w:rsid w:val="00266593"/>
    <w:rsid w:val="00272904"/>
    <w:rsid w:val="00273222"/>
    <w:rsid w:val="002762D6"/>
    <w:rsid w:val="00283FF3"/>
    <w:rsid w:val="00285B0A"/>
    <w:rsid w:val="00287CFE"/>
    <w:rsid w:val="002975E1"/>
    <w:rsid w:val="002A2363"/>
    <w:rsid w:val="002A5715"/>
    <w:rsid w:val="002B08EE"/>
    <w:rsid w:val="002B295C"/>
    <w:rsid w:val="002B5164"/>
    <w:rsid w:val="002B6288"/>
    <w:rsid w:val="002B6A46"/>
    <w:rsid w:val="002B77A4"/>
    <w:rsid w:val="002C2845"/>
    <w:rsid w:val="002C297B"/>
    <w:rsid w:val="002E3FF5"/>
    <w:rsid w:val="002E5DCD"/>
    <w:rsid w:val="00300B31"/>
    <w:rsid w:val="00302526"/>
    <w:rsid w:val="003026F0"/>
    <w:rsid w:val="00306104"/>
    <w:rsid w:val="00321099"/>
    <w:rsid w:val="0033537D"/>
    <w:rsid w:val="00342EC4"/>
    <w:rsid w:val="0034396C"/>
    <w:rsid w:val="003449F3"/>
    <w:rsid w:val="003621D3"/>
    <w:rsid w:val="003708A1"/>
    <w:rsid w:val="0038761F"/>
    <w:rsid w:val="003876E0"/>
    <w:rsid w:val="00390B4F"/>
    <w:rsid w:val="003B1FED"/>
    <w:rsid w:val="003B27BB"/>
    <w:rsid w:val="003B3979"/>
    <w:rsid w:val="003C43B2"/>
    <w:rsid w:val="003D0BD9"/>
    <w:rsid w:val="003D1127"/>
    <w:rsid w:val="003D138E"/>
    <w:rsid w:val="003D1AC9"/>
    <w:rsid w:val="003D328C"/>
    <w:rsid w:val="003E62F2"/>
    <w:rsid w:val="003F0E9C"/>
    <w:rsid w:val="003F39E5"/>
    <w:rsid w:val="00423D2C"/>
    <w:rsid w:val="00431F79"/>
    <w:rsid w:val="0044519B"/>
    <w:rsid w:val="00456220"/>
    <w:rsid w:val="00473222"/>
    <w:rsid w:val="00475449"/>
    <w:rsid w:val="00475FD2"/>
    <w:rsid w:val="00480ACB"/>
    <w:rsid w:val="00491CC9"/>
    <w:rsid w:val="004A2D4D"/>
    <w:rsid w:val="004A6D79"/>
    <w:rsid w:val="004B33A1"/>
    <w:rsid w:val="004B4DC6"/>
    <w:rsid w:val="004B6962"/>
    <w:rsid w:val="004B6993"/>
    <w:rsid w:val="004C46D3"/>
    <w:rsid w:val="004C6761"/>
    <w:rsid w:val="004E1054"/>
    <w:rsid w:val="0050611A"/>
    <w:rsid w:val="005113A0"/>
    <w:rsid w:val="00512D9B"/>
    <w:rsid w:val="005301AA"/>
    <w:rsid w:val="0053698A"/>
    <w:rsid w:val="0054064F"/>
    <w:rsid w:val="00544457"/>
    <w:rsid w:val="00545CD7"/>
    <w:rsid w:val="0054708B"/>
    <w:rsid w:val="005473AC"/>
    <w:rsid w:val="00553E37"/>
    <w:rsid w:val="00564930"/>
    <w:rsid w:val="00565443"/>
    <w:rsid w:val="0056774C"/>
    <w:rsid w:val="005715E1"/>
    <w:rsid w:val="005736FB"/>
    <w:rsid w:val="0057594C"/>
    <w:rsid w:val="00580F01"/>
    <w:rsid w:val="00587616"/>
    <w:rsid w:val="00592228"/>
    <w:rsid w:val="005926DE"/>
    <w:rsid w:val="00593621"/>
    <w:rsid w:val="005B29CA"/>
    <w:rsid w:val="005C3EBF"/>
    <w:rsid w:val="005D71D8"/>
    <w:rsid w:val="005E181A"/>
    <w:rsid w:val="005F3FC9"/>
    <w:rsid w:val="005F5350"/>
    <w:rsid w:val="00604536"/>
    <w:rsid w:val="00621993"/>
    <w:rsid w:val="00621FA0"/>
    <w:rsid w:val="00627288"/>
    <w:rsid w:val="006316A5"/>
    <w:rsid w:val="00641E21"/>
    <w:rsid w:val="0064611E"/>
    <w:rsid w:val="00652D75"/>
    <w:rsid w:val="0065489F"/>
    <w:rsid w:val="00655BC8"/>
    <w:rsid w:val="00663ABF"/>
    <w:rsid w:val="006722F9"/>
    <w:rsid w:val="0067799C"/>
    <w:rsid w:val="006976A6"/>
    <w:rsid w:val="006A752A"/>
    <w:rsid w:val="006D00F2"/>
    <w:rsid w:val="006D0D32"/>
    <w:rsid w:val="006D1A65"/>
    <w:rsid w:val="006D2165"/>
    <w:rsid w:val="006D336A"/>
    <w:rsid w:val="006D6970"/>
    <w:rsid w:val="006E6897"/>
    <w:rsid w:val="006F015D"/>
    <w:rsid w:val="00723A81"/>
    <w:rsid w:val="0072403B"/>
    <w:rsid w:val="00740331"/>
    <w:rsid w:val="00744852"/>
    <w:rsid w:val="00747D11"/>
    <w:rsid w:val="00755CA2"/>
    <w:rsid w:val="00761FE9"/>
    <w:rsid w:val="00782D92"/>
    <w:rsid w:val="0079276B"/>
    <w:rsid w:val="0079625E"/>
    <w:rsid w:val="00797856"/>
    <w:rsid w:val="007B6C71"/>
    <w:rsid w:val="007C19C7"/>
    <w:rsid w:val="007D15A2"/>
    <w:rsid w:val="007D3BE0"/>
    <w:rsid w:val="007F730E"/>
    <w:rsid w:val="00822BD4"/>
    <w:rsid w:val="00833157"/>
    <w:rsid w:val="0083319B"/>
    <w:rsid w:val="0083708F"/>
    <w:rsid w:val="00844CE1"/>
    <w:rsid w:val="00852C78"/>
    <w:rsid w:val="00862C2E"/>
    <w:rsid w:val="0086364D"/>
    <w:rsid w:val="0087465B"/>
    <w:rsid w:val="00876BA0"/>
    <w:rsid w:val="008817F7"/>
    <w:rsid w:val="0088246E"/>
    <w:rsid w:val="00896213"/>
    <w:rsid w:val="008972E9"/>
    <w:rsid w:val="008A386B"/>
    <w:rsid w:val="008B08CE"/>
    <w:rsid w:val="008C4725"/>
    <w:rsid w:val="008C7A2D"/>
    <w:rsid w:val="008D05A5"/>
    <w:rsid w:val="008D2300"/>
    <w:rsid w:val="008D5EE1"/>
    <w:rsid w:val="008F0190"/>
    <w:rsid w:val="008F2402"/>
    <w:rsid w:val="00942943"/>
    <w:rsid w:val="00947E4F"/>
    <w:rsid w:val="00951034"/>
    <w:rsid w:val="00952A51"/>
    <w:rsid w:val="00956A6B"/>
    <w:rsid w:val="00957130"/>
    <w:rsid w:val="00972D4C"/>
    <w:rsid w:val="00973BAB"/>
    <w:rsid w:val="009817CD"/>
    <w:rsid w:val="0098590E"/>
    <w:rsid w:val="009973BE"/>
    <w:rsid w:val="00997491"/>
    <w:rsid w:val="009A012C"/>
    <w:rsid w:val="009B3C47"/>
    <w:rsid w:val="009C10D4"/>
    <w:rsid w:val="009C5B02"/>
    <w:rsid w:val="009D1076"/>
    <w:rsid w:val="009D76D9"/>
    <w:rsid w:val="009E2E4F"/>
    <w:rsid w:val="009E3D96"/>
    <w:rsid w:val="00A061D1"/>
    <w:rsid w:val="00A06940"/>
    <w:rsid w:val="00A10BB8"/>
    <w:rsid w:val="00A129E3"/>
    <w:rsid w:val="00A23D53"/>
    <w:rsid w:val="00A42881"/>
    <w:rsid w:val="00A53915"/>
    <w:rsid w:val="00A53A80"/>
    <w:rsid w:val="00A56020"/>
    <w:rsid w:val="00A6277A"/>
    <w:rsid w:val="00A71A45"/>
    <w:rsid w:val="00A9766C"/>
    <w:rsid w:val="00AB09A0"/>
    <w:rsid w:val="00AC34A5"/>
    <w:rsid w:val="00AD04B9"/>
    <w:rsid w:val="00AF4419"/>
    <w:rsid w:val="00AF6B9D"/>
    <w:rsid w:val="00B02898"/>
    <w:rsid w:val="00B12B78"/>
    <w:rsid w:val="00B12CC9"/>
    <w:rsid w:val="00B16995"/>
    <w:rsid w:val="00B235D8"/>
    <w:rsid w:val="00B33650"/>
    <w:rsid w:val="00B35B74"/>
    <w:rsid w:val="00B35B7C"/>
    <w:rsid w:val="00B35BA6"/>
    <w:rsid w:val="00B35D32"/>
    <w:rsid w:val="00B575C6"/>
    <w:rsid w:val="00B62C1C"/>
    <w:rsid w:val="00B65B4B"/>
    <w:rsid w:val="00B67F3B"/>
    <w:rsid w:val="00B71FB9"/>
    <w:rsid w:val="00B91316"/>
    <w:rsid w:val="00B92C9C"/>
    <w:rsid w:val="00BA4E13"/>
    <w:rsid w:val="00BA51EA"/>
    <w:rsid w:val="00BC17C7"/>
    <w:rsid w:val="00BC2729"/>
    <w:rsid w:val="00BD5ADE"/>
    <w:rsid w:val="00BD7A44"/>
    <w:rsid w:val="00BD7CC4"/>
    <w:rsid w:val="00BE31AF"/>
    <w:rsid w:val="00BF52B2"/>
    <w:rsid w:val="00C078E0"/>
    <w:rsid w:val="00C21EA2"/>
    <w:rsid w:val="00C26927"/>
    <w:rsid w:val="00C31CF2"/>
    <w:rsid w:val="00C32793"/>
    <w:rsid w:val="00C34E29"/>
    <w:rsid w:val="00C375E7"/>
    <w:rsid w:val="00C42812"/>
    <w:rsid w:val="00C55212"/>
    <w:rsid w:val="00C60F32"/>
    <w:rsid w:val="00C63DB5"/>
    <w:rsid w:val="00C767EC"/>
    <w:rsid w:val="00CC49BD"/>
    <w:rsid w:val="00CC5318"/>
    <w:rsid w:val="00CD4615"/>
    <w:rsid w:val="00CD644C"/>
    <w:rsid w:val="00CE34F9"/>
    <w:rsid w:val="00CE61E2"/>
    <w:rsid w:val="00CF49FD"/>
    <w:rsid w:val="00D10003"/>
    <w:rsid w:val="00D16F8B"/>
    <w:rsid w:val="00D22100"/>
    <w:rsid w:val="00D3364F"/>
    <w:rsid w:val="00D4238B"/>
    <w:rsid w:val="00D465DB"/>
    <w:rsid w:val="00D51054"/>
    <w:rsid w:val="00D54E46"/>
    <w:rsid w:val="00D60D3C"/>
    <w:rsid w:val="00D6319F"/>
    <w:rsid w:val="00D7275D"/>
    <w:rsid w:val="00DB4E52"/>
    <w:rsid w:val="00DC7E35"/>
    <w:rsid w:val="00DE3F79"/>
    <w:rsid w:val="00DE6B14"/>
    <w:rsid w:val="00DF4EEF"/>
    <w:rsid w:val="00DF6827"/>
    <w:rsid w:val="00DF7C53"/>
    <w:rsid w:val="00E1076E"/>
    <w:rsid w:val="00E136F1"/>
    <w:rsid w:val="00E228BE"/>
    <w:rsid w:val="00E24649"/>
    <w:rsid w:val="00E26AFD"/>
    <w:rsid w:val="00E325C8"/>
    <w:rsid w:val="00E441A7"/>
    <w:rsid w:val="00E46804"/>
    <w:rsid w:val="00E54854"/>
    <w:rsid w:val="00E55664"/>
    <w:rsid w:val="00E556EA"/>
    <w:rsid w:val="00E64BCE"/>
    <w:rsid w:val="00E65BF0"/>
    <w:rsid w:val="00E671E3"/>
    <w:rsid w:val="00E73C5A"/>
    <w:rsid w:val="00E86942"/>
    <w:rsid w:val="00E8787C"/>
    <w:rsid w:val="00E9259C"/>
    <w:rsid w:val="00E95C26"/>
    <w:rsid w:val="00E95EF9"/>
    <w:rsid w:val="00EA1BED"/>
    <w:rsid w:val="00EB18F8"/>
    <w:rsid w:val="00ED1993"/>
    <w:rsid w:val="00ED4D77"/>
    <w:rsid w:val="00EE53A0"/>
    <w:rsid w:val="00EE578E"/>
    <w:rsid w:val="00EF4B79"/>
    <w:rsid w:val="00F003B5"/>
    <w:rsid w:val="00F17585"/>
    <w:rsid w:val="00F24A07"/>
    <w:rsid w:val="00F30B91"/>
    <w:rsid w:val="00F32CE8"/>
    <w:rsid w:val="00F56809"/>
    <w:rsid w:val="00F57606"/>
    <w:rsid w:val="00F81472"/>
    <w:rsid w:val="00F83811"/>
    <w:rsid w:val="00F85185"/>
    <w:rsid w:val="00F8632C"/>
    <w:rsid w:val="00F93090"/>
    <w:rsid w:val="00F9374C"/>
    <w:rsid w:val="00FA0294"/>
    <w:rsid w:val="00FA0EFD"/>
    <w:rsid w:val="00FA2432"/>
    <w:rsid w:val="00FA515F"/>
    <w:rsid w:val="00FC0207"/>
    <w:rsid w:val="00FD56B8"/>
    <w:rsid w:val="00FD7F43"/>
    <w:rsid w:val="00FE5F44"/>
    <w:rsid w:val="00FF2320"/>
    <w:rsid w:val="1C082DB4"/>
    <w:rsid w:val="22FB28F6"/>
    <w:rsid w:val="2D095E32"/>
    <w:rsid w:val="4E543AF1"/>
    <w:rsid w:val="58AF519C"/>
    <w:rsid w:val="7F882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15"/>
    <w:unhideWhenUsed/>
    <w:qFormat/>
    <w:uiPriority w:val="9"/>
    <w:pPr>
      <w:keepNext/>
      <w:keepLines/>
      <w:spacing w:beforeLines="50" w:afterLines="50" w:line="416" w:lineRule="auto"/>
      <w:outlineLvl w:val="2"/>
    </w:pPr>
    <w:rPr>
      <w:rFonts w:eastAsia="仿宋_GB2312" w:asciiTheme="minorEastAsia" w:hAnsiTheme="minorEastAsia"/>
      <w:b/>
      <w:bCs/>
      <w:sz w:val="24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1"/>
    <w:semiHidden/>
    <w:unhideWhenUsed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字符"/>
    <w:basedOn w:val="8"/>
    <w:link w:val="6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5"/>
    <w:qFormat/>
    <w:uiPriority w:val="99"/>
    <w:rPr>
      <w:sz w:val="18"/>
      <w:szCs w:val="18"/>
    </w:rPr>
  </w:style>
  <w:style w:type="character" w:customStyle="1" w:styleId="11">
    <w:name w:val="批注框文本 字符"/>
    <w:basedOn w:val="8"/>
    <w:link w:val="4"/>
    <w:semiHidden/>
    <w:qFormat/>
    <w:uiPriority w:val="99"/>
    <w:rPr>
      <w:rFonts w:ascii="Segoe UI" w:hAnsi="Segoe UI" w:cs="Segoe UI"/>
      <w:kern w:val="2"/>
      <w:sz w:val="18"/>
      <w:szCs w:val="18"/>
    </w:rPr>
  </w:style>
  <w:style w:type="character" w:customStyle="1" w:styleId="12">
    <w:name w:val="Body Char1"/>
    <w:link w:val="13"/>
    <w:qFormat/>
    <w:uiPriority w:val="0"/>
    <w:rPr>
      <w:rFonts w:ascii="Arial" w:hAnsi="Arial"/>
      <w:sz w:val="22"/>
      <w:lang w:eastAsia="en-US"/>
    </w:rPr>
  </w:style>
  <w:style w:type="paragraph" w:customStyle="1" w:styleId="13">
    <w:name w:val="Body"/>
    <w:link w:val="12"/>
    <w:qFormat/>
    <w:uiPriority w:val="0"/>
    <w:pPr>
      <w:spacing w:after="120"/>
      <w:ind w:left="1418"/>
    </w:pPr>
    <w:rPr>
      <w:rFonts w:ascii="Arial" w:hAnsi="Arial" w:eastAsiaTheme="minorEastAsia" w:cstheme="minorBidi"/>
      <w:sz w:val="22"/>
      <w:lang w:val="en-US" w:eastAsia="en-US" w:bidi="ar-SA"/>
    </w:rPr>
  </w:style>
  <w:style w:type="paragraph" w:customStyle="1" w:styleId="14">
    <w:name w:val="List Paragraph1"/>
    <w:basedOn w:val="1"/>
    <w:qFormat/>
    <w:uiPriority w:val="34"/>
    <w:pPr>
      <w:ind w:firstLine="420" w:firstLineChars="200"/>
    </w:pPr>
    <w:rPr>
      <w:rFonts w:ascii="Times New Roman" w:hAnsi="Times New Roman" w:eastAsia="宋体" w:cs="Times New Roman"/>
      <w:szCs w:val="24"/>
    </w:rPr>
  </w:style>
  <w:style w:type="character" w:customStyle="1" w:styleId="15">
    <w:name w:val="标题 3 字符"/>
    <w:basedOn w:val="8"/>
    <w:link w:val="3"/>
    <w:qFormat/>
    <w:uiPriority w:val="9"/>
    <w:rPr>
      <w:rFonts w:eastAsia="仿宋_GB2312" w:asciiTheme="minorEastAsia" w:hAnsiTheme="minorEastAsia"/>
      <w:b/>
      <w:bCs/>
      <w:kern w:val="2"/>
      <w:sz w:val="24"/>
      <w:szCs w:val="32"/>
    </w:rPr>
  </w:style>
  <w:style w:type="character" w:customStyle="1" w:styleId="16">
    <w:name w:val="标题 2 字符"/>
    <w:basedOn w:val="8"/>
    <w:link w:val="2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paragraph" w:styleId="17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9"/>
    <customShpInfo spid="_x0000_s1030"/>
    <customShpInfo spid="_x0000_s1028"/>
    <customShpInfo spid="_x0000_s103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20</Pages>
  <Words>4371</Words>
  <Characters>4844</Characters>
  <Lines>37</Lines>
  <Paragraphs>10</Paragraphs>
  <TotalTime>2</TotalTime>
  <ScaleCrop>false</ScaleCrop>
  <LinksUpToDate>false</LinksUpToDate>
  <CharactersWithSpaces>4905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2022-11-10T08:24:00Z</dcterms:created>
  <dc:creator>qiao luo</dc:creator>
  <cp:lastModifiedBy>茅晓薇</cp:lastModifiedBy>
  <dcterms:modified xsi:type="dcterms:W3CDTF">2022-12-22T08:09:32Z</dcterms:modified>
  <cp:revision>244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94D987697CA04C73974C38B5AEC6ACC9</vt:lpwstr>
  </property>
</Properties>
</file>